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0"/>
        <w:gridCol w:w="1842"/>
      </w:tblGrid>
      <w:tr w:rsidR="000A03B2" w:rsidRPr="00A55CB5" w:rsidTr="00416941">
        <w:trPr>
          <w:trHeight w:val="852"/>
          <w:jc w:val="center"/>
        </w:trPr>
        <w:tc>
          <w:tcPr>
            <w:tcW w:w="6940" w:type="dxa"/>
            <w:vMerge w:val="restart"/>
            <w:tcBorders>
              <w:right w:val="single" w:sz="4" w:space="0" w:color="auto"/>
            </w:tcBorders>
          </w:tcPr>
          <w:p w:rsidR="000A03B2" w:rsidRPr="00A55CB5" w:rsidRDefault="000A03B2" w:rsidP="00DE264A">
            <w:pPr>
              <w:tabs>
                <w:tab w:val="left" w:pos="-108"/>
              </w:tabs>
              <w:ind w:left="-108"/>
              <w:jc w:val="left"/>
              <w:rPr>
                <w:rFonts w:cs="Arial"/>
                <w:b/>
                <w:bCs/>
                <w:i/>
                <w:iCs/>
                <w:color w:val="000066"/>
                <w:sz w:val="12"/>
                <w:szCs w:val="12"/>
                <w:lang w:val="en-US" w:eastAsia="it-IT"/>
              </w:rPr>
            </w:pPr>
            <w:bookmarkStart w:id="0" w:name="_Hlk145068772"/>
            <w:r w:rsidRPr="00A55CB5">
              <w:rPr>
                <w:rFonts w:ascii="AdvP6960" w:hAnsi="AdvP6960" w:cs="AdvP6960"/>
                <w:noProof/>
                <w:color w:val="241F20"/>
                <w:szCs w:val="18"/>
                <w:lang w:val="pt-BR" w:eastAsia="pt-BR"/>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A55CB5">
              <w:rPr>
                <w:rFonts w:ascii="AdvP6960" w:hAnsi="AdvP6960" w:cs="AdvP6960"/>
                <w:color w:val="241F20"/>
                <w:szCs w:val="18"/>
                <w:lang w:val="en-US" w:eastAsia="it-IT"/>
              </w:rPr>
              <w:t xml:space="preserve"> </w:t>
            </w:r>
            <w:r w:rsidRPr="00A55CB5">
              <w:rPr>
                <w:rFonts w:cs="Arial"/>
                <w:b/>
                <w:bCs/>
                <w:i/>
                <w:iCs/>
                <w:color w:val="000066"/>
                <w:sz w:val="24"/>
                <w:szCs w:val="24"/>
                <w:lang w:val="en-US" w:eastAsia="it-IT"/>
              </w:rPr>
              <w:t>CHEMICAL ENGINEERING</w:t>
            </w:r>
            <w:r w:rsidRPr="00A55CB5">
              <w:rPr>
                <w:rFonts w:cs="Arial"/>
                <w:b/>
                <w:bCs/>
                <w:i/>
                <w:iCs/>
                <w:color w:val="0033FF"/>
                <w:sz w:val="24"/>
                <w:szCs w:val="24"/>
                <w:lang w:val="en-US" w:eastAsia="it-IT"/>
              </w:rPr>
              <w:t xml:space="preserve"> </w:t>
            </w:r>
            <w:r w:rsidRPr="00A55CB5">
              <w:rPr>
                <w:rFonts w:cs="Arial"/>
                <w:b/>
                <w:bCs/>
                <w:i/>
                <w:iCs/>
                <w:color w:val="666666"/>
                <w:sz w:val="24"/>
                <w:szCs w:val="24"/>
                <w:lang w:val="en-US" w:eastAsia="it-IT"/>
              </w:rPr>
              <w:t>TRANSACTIONS</w:t>
            </w:r>
            <w:r w:rsidRPr="00A55CB5">
              <w:rPr>
                <w:color w:val="333333"/>
                <w:sz w:val="24"/>
                <w:szCs w:val="24"/>
                <w:lang w:val="en-US" w:eastAsia="it-IT"/>
              </w:rPr>
              <w:t xml:space="preserve"> </w:t>
            </w:r>
            <w:r w:rsidRPr="00A55CB5">
              <w:rPr>
                <w:rFonts w:cs="Arial"/>
                <w:b/>
                <w:bCs/>
                <w:i/>
                <w:iCs/>
                <w:color w:val="000066"/>
                <w:sz w:val="27"/>
                <w:szCs w:val="27"/>
                <w:lang w:val="en-US" w:eastAsia="it-IT"/>
              </w:rPr>
              <w:br/>
            </w:r>
          </w:p>
          <w:p w:rsidR="000A03B2" w:rsidRPr="00A55CB5" w:rsidRDefault="00A76EFC" w:rsidP="001D21AF">
            <w:pPr>
              <w:tabs>
                <w:tab w:val="left" w:pos="-108"/>
              </w:tabs>
              <w:ind w:left="-108"/>
              <w:rPr>
                <w:rFonts w:cs="Arial"/>
                <w:b/>
                <w:bCs/>
                <w:i/>
                <w:iCs/>
                <w:color w:val="000066"/>
                <w:sz w:val="22"/>
                <w:szCs w:val="22"/>
                <w:lang w:val="en-US" w:eastAsia="it-IT"/>
              </w:rPr>
            </w:pPr>
            <w:r w:rsidRPr="00A55CB5">
              <w:rPr>
                <w:rFonts w:cs="Arial"/>
                <w:b/>
                <w:bCs/>
                <w:i/>
                <w:iCs/>
                <w:color w:val="000066"/>
                <w:sz w:val="22"/>
                <w:szCs w:val="22"/>
                <w:lang w:val="en-US" w:eastAsia="it-IT"/>
              </w:rPr>
              <w:t>VOL.</w:t>
            </w:r>
            <w:r w:rsidR="00785BF9" w:rsidRPr="00A55CB5">
              <w:rPr>
                <w:rFonts w:cs="Arial"/>
                <w:b/>
                <w:bCs/>
                <w:i/>
                <w:iCs/>
                <w:color w:val="000066"/>
                <w:sz w:val="22"/>
                <w:szCs w:val="22"/>
                <w:lang w:val="en-US" w:eastAsia="it-IT"/>
              </w:rPr>
              <w:t xml:space="preserve"> </w:t>
            </w:r>
            <w:r w:rsidR="00994C6A" w:rsidRPr="00A55CB5">
              <w:rPr>
                <w:rFonts w:cs="Arial"/>
                <w:b/>
                <w:bCs/>
                <w:i/>
                <w:iCs/>
                <w:color w:val="000066"/>
                <w:sz w:val="22"/>
                <w:szCs w:val="22"/>
                <w:lang w:val="en-US" w:eastAsia="it-IT"/>
              </w:rPr>
              <w:t>xxx</w:t>
            </w:r>
            <w:r w:rsidR="007B48F9" w:rsidRPr="00A55CB5">
              <w:rPr>
                <w:rFonts w:cs="Arial"/>
                <w:b/>
                <w:bCs/>
                <w:i/>
                <w:iCs/>
                <w:color w:val="000066"/>
                <w:sz w:val="22"/>
                <w:szCs w:val="22"/>
                <w:lang w:val="en-US" w:eastAsia="it-IT"/>
              </w:rPr>
              <w:t>,</w:t>
            </w:r>
            <w:r w:rsidR="00FA5F5F" w:rsidRPr="00A55CB5">
              <w:rPr>
                <w:rFonts w:cs="Arial"/>
                <w:b/>
                <w:bCs/>
                <w:i/>
                <w:iCs/>
                <w:color w:val="000066"/>
                <w:sz w:val="22"/>
                <w:szCs w:val="22"/>
                <w:lang w:val="en-US" w:eastAsia="it-IT"/>
              </w:rPr>
              <w:t xml:space="preserve"> </w:t>
            </w:r>
            <w:r w:rsidR="0030152C" w:rsidRPr="00A55CB5">
              <w:rPr>
                <w:rFonts w:cs="Arial"/>
                <w:b/>
                <w:bCs/>
                <w:i/>
                <w:iCs/>
                <w:color w:val="000066"/>
                <w:sz w:val="22"/>
                <w:szCs w:val="22"/>
                <w:lang w:val="en-US" w:eastAsia="it-IT"/>
              </w:rPr>
              <w:t>202</w:t>
            </w:r>
            <w:r w:rsidR="00994C6A" w:rsidRPr="00A55CB5">
              <w:rPr>
                <w:rFonts w:cs="Arial"/>
                <w:b/>
                <w:bCs/>
                <w:i/>
                <w:iCs/>
                <w:color w:val="000066"/>
                <w:sz w:val="22"/>
                <w:szCs w:val="22"/>
                <w:lang w:val="en-US" w:eastAsia="it-IT"/>
              </w:rPr>
              <w:t>5</w:t>
            </w:r>
          </w:p>
        </w:tc>
        <w:tc>
          <w:tcPr>
            <w:tcW w:w="1842" w:type="dxa"/>
            <w:tcBorders>
              <w:left w:val="single" w:sz="4" w:space="0" w:color="auto"/>
              <w:bottom w:val="nil"/>
              <w:right w:val="single" w:sz="4" w:space="0" w:color="auto"/>
            </w:tcBorders>
          </w:tcPr>
          <w:p w:rsidR="000A03B2" w:rsidRPr="00A55CB5" w:rsidRDefault="000A03B2" w:rsidP="00CD5FE2">
            <w:pPr>
              <w:spacing w:line="140" w:lineRule="atLeast"/>
              <w:jc w:val="right"/>
              <w:rPr>
                <w:rFonts w:cs="Arial"/>
                <w:sz w:val="14"/>
                <w:szCs w:val="14"/>
                <w:lang w:val="en-US"/>
              </w:rPr>
            </w:pPr>
            <w:r w:rsidRPr="00A55CB5">
              <w:rPr>
                <w:rFonts w:cs="Arial"/>
                <w:sz w:val="14"/>
                <w:szCs w:val="14"/>
                <w:lang w:val="en-US"/>
              </w:rPr>
              <w:t>A publication of</w:t>
            </w:r>
          </w:p>
          <w:p w:rsidR="000A03B2" w:rsidRPr="00A55CB5" w:rsidRDefault="000A03B2" w:rsidP="00CD5FE2">
            <w:pPr>
              <w:jc w:val="right"/>
              <w:rPr>
                <w:lang w:val="en-US"/>
              </w:rPr>
            </w:pPr>
            <w:r w:rsidRPr="00A55CB5">
              <w:rPr>
                <w:noProof/>
                <w:lang w:val="pt-BR" w:eastAsia="pt-BR"/>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A55CB5" w:rsidTr="00416941">
        <w:trPr>
          <w:trHeight w:val="567"/>
          <w:jc w:val="center"/>
        </w:trPr>
        <w:tc>
          <w:tcPr>
            <w:tcW w:w="6940" w:type="dxa"/>
            <w:vMerge/>
            <w:tcBorders>
              <w:right w:val="single" w:sz="4" w:space="0" w:color="auto"/>
            </w:tcBorders>
          </w:tcPr>
          <w:p w:rsidR="000A03B2" w:rsidRPr="00A55CB5" w:rsidRDefault="000A03B2" w:rsidP="00CD5FE2">
            <w:pPr>
              <w:tabs>
                <w:tab w:val="left" w:pos="-108"/>
              </w:tabs>
              <w:rPr>
                <w:lang w:val="en-US"/>
              </w:rPr>
            </w:pPr>
          </w:p>
        </w:tc>
        <w:tc>
          <w:tcPr>
            <w:tcW w:w="1842" w:type="dxa"/>
            <w:tcBorders>
              <w:left w:val="single" w:sz="4" w:space="0" w:color="auto"/>
              <w:bottom w:val="nil"/>
              <w:right w:val="single" w:sz="4" w:space="0" w:color="auto"/>
            </w:tcBorders>
          </w:tcPr>
          <w:p w:rsidR="000A03B2" w:rsidRPr="00A55CB5" w:rsidRDefault="000A03B2" w:rsidP="00CD5FE2">
            <w:pPr>
              <w:spacing w:line="140" w:lineRule="atLeast"/>
              <w:jc w:val="right"/>
              <w:rPr>
                <w:rFonts w:cs="Arial"/>
                <w:sz w:val="14"/>
                <w:szCs w:val="14"/>
                <w:lang w:val="en-US"/>
              </w:rPr>
            </w:pPr>
            <w:r w:rsidRPr="00A55CB5">
              <w:rPr>
                <w:rFonts w:cs="Arial"/>
                <w:sz w:val="14"/>
                <w:szCs w:val="14"/>
                <w:lang w:val="en-US"/>
              </w:rPr>
              <w:t>The Italian Association</w:t>
            </w:r>
          </w:p>
          <w:p w:rsidR="000A03B2" w:rsidRPr="00A55CB5" w:rsidRDefault="000A03B2" w:rsidP="00CD5FE2">
            <w:pPr>
              <w:spacing w:line="140" w:lineRule="atLeast"/>
              <w:jc w:val="right"/>
              <w:rPr>
                <w:rFonts w:cs="Arial"/>
                <w:sz w:val="14"/>
                <w:szCs w:val="14"/>
                <w:lang w:val="en-US"/>
              </w:rPr>
            </w:pPr>
            <w:r w:rsidRPr="00A55CB5">
              <w:rPr>
                <w:rFonts w:cs="Arial"/>
                <w:sz w:val="14"/>
                <w:szCs w:val="14"/>
                <w:lang w:val="en-US"/>
              </w:rPr>
              <w:t>of Chemical Engineering</w:t>
            </w:r>
          </w:p>
          <w:p w:rsidR="000A03B2" w:rsidRPr="00A55CB5" w:rsidRDefault="000D0268" w:rsidP="00CD5FE2">
            <w:pPr>
              <w:spacing w:line="140" w:lineRule="atLeast"/>
              <w:jc w:val="right"/>
              <w:rPr>
                <w:rFonts w:cs="Arial"/>
                <w:sz w:val="13"/>
                <w:szCs w:val="13"/>
                <w:lang w:val="en-US"/>
              </w:rPr>
            </w:pPr>
            <w:r w:rsidRPr="00A55CB5">
              <w:rPr>
                <w:rFonts w:cs="Arial"/>
                <w:sz w:val="13"/>
                <w:szCs w:val="13"/>
                <w:lang w:val="en-US"/>
              </w:rPr>
              <w:t>Online at www.cetjournal.it</w:t>
            </w:r>
          </w:p>
        </w:tc>
      </w:tr>
      <w:tr w:rsidR="000A03B2" w:rsidRPr="00A55CB5" w:rsidTr="00416941">
        <w:trPr>
          <w:trHeight w:val="68"/>
          <w:jc w:val="center"/>
        </w:trPr>
        <w:tc>
          <w:tcPr>
            <w:tcW w:w="8782" w:type="dxa"/>
            <w:gridSpan w:val="2"/>
          </w:tcPr>
          <w:p w:rsidR="00AA7D26" w:rsidRPr="00A55CB5" w:rsidRDefault="00AA7D26" w:rsidP="007D610D">
            <w:pPr>
              <w:ind w:left="-107"/>
              <w:outlineLvl w:val="2"/>
              <w:rPr>
                <w:rFonts w:ascii="Tahoma" w:hAnsi="Tahoma" w:cs="Tahoma"/>
                <w:color w:val="000000"/>
                <w:sz w:val="14"/>
                <w:szCs w:val="14"/>
                <w:shd w:val="clear" w:color="auto" w:fill="FFFFFF"/>
                <w:lang w:val="en-US"/>
              </w:rPr>
            </w:pPr>
            <w:r w:rsidRPr="00A55CB5">
              <w:rPr>
                <w:rFonts w:ascii="Tahoma" w:hAnsi="Tahoma" w:cs="Tahoma"/>
                <w:iCs/>
                <w:color w:val="333333"/>
                <w:sz w:val="14"/>
                <w:szCs w:val="14"/>
                <w:lang w:val="en-US" w:eastAsia="it-IT"/>
              </w:rPr>
              <w:t>Guest Editors:</w:t>
            </w:r>
            <w:r w:rsidR="007D610D" w:rsidRPr="00A55CB5">
              <w:rPr>
                <w:rFonts w:ascii="Aptos" w:eastAsiaTheme="minorHAnsi" w:hAnsi="Aptos" w:cs="Aptos"/>
                <w:sz w:val="22"/>
                <w:szCs w:val="22"/>
                <w:lang w:val="en-US"/>
              </w:rPr>
              <w:t xml:space="preserve"> </w:t>
            </w:r>
            <w:r w:rsidR="007D610D" w:rsidRPr="00A55CB5">
              <w:rPr>
                <w:rFonts w:ascii="Tahoma" w:hAnsi="Tahoma" w:cs="Tahoma"/>
                <w:color w:val="000000"/>
                <w:sz w:val="14"/>
                <w:szCs w:val="14"/>
                <w:shd w:val="clear" w:color="auto" w:fill="FFFFFF"/>
                <w:lang w:val="en-US"/>
              </w:rPr>
              <w:t xml:space="preserve">Fabrizio Bezzo, </w:t>
            </w:r>
            <w:r w:rsidR="001D3D32" w:rsidRPr="00A55CB5">
              <w:rPr>
                <w:rFonts w:ascii="Tahoma" w:hAnsi="Tahoma" w:cs="Tahoma"/>
                <w:color w:val="000000"/>
                <w:sz w:val="14"/>
                <w:szCs w:val="14"/>
                <w:shd w:val="clear" w:color="auto" w:fill="FFFFFF"/>
                <w:lang w:val="en-US"/>
              </w:rPr>
              <w:t>Flavio Manenti</w:t>
            </w:r>
            <w:r w:rsidR="00304CE8" w:rsidRPr="00A55CB5">
              <w:rPr>
                <w:rFonts w:ascii="Tahoma" w:hAnsi="Tahoma" w:cs="Tahoma"/>
                <w:color w:val="000000"/>
                <w:sz w:val="14"/>
                <w:szCs w:val="14"/>
                <w:shd w:val="clear" w:color="auto" w:fill="FFFFFF"/>
                <w:lang w:val="en-US"/>
              </w:rPr>
              <w:t>,</w:t>
            </w:r>
            <w:r w:rsidR="001D3D32" w:rsidRPr="00A55CB5">
              <w:rPr>
                <w:rFonts w:ascii="Tahoma" w:hAnsi="Tahoma" w:cs="Tahoma"/>
                <w:color w:val="000000"/>
                <w:sz w:val="14"/>
                <w:szCs w:val="14"/>
                <w:shd w:val="clear" w:color="auto" w:fill="FFFFFF"/>
                <w:lang w:val="en-US"/>
              </w:rPr>
              <w:t xml:space="preserve"> </w:t>
            </w:r>
            <w:r w:rsidR="007D610D" w:rsidRPr="00A55CB5">
              <w:rPr>
                <w:rFonts w:ascii="Tahoma" w:hAnsi="Tahoma" w:cs="Tahoma"/>
                <w:color w:val="000000"/>
                <w:sz w:val="14"/>
                <w:szCs w:val="14"/>
                <w:shd w:val="clear" w:color="auto" w:fill="FFFFFF"/>
                <w:lang w:val="en-US"/>
              </w:rPr>
              <w:t>Gabriele Pannocchia, Almerinda di Benedetto</w:t>
            </w:r>
          </w:p>
          <w:p w:rsidR="000A03B2" w:rsidRPr="00A55CB5" w:rsidRDefault="00AA7D26" w:rsidP="00AA7D26">
            <w:pPr>
              <w:tabs>
                <w:tab w:val="left" w:pos="-108"/>
              </w:tabs>
              <w:spacing w:line="140" w:lineRule="atLeast"/>
              <w:ind w:left="-107"/>
              <w:jc w:val="left"/>
              <w:rPr>
                <w:lang w:val="en-US"/>
              </w:rPr>
            </w:pPr>
            <w:r w:rsidRPr="00A55CB5">
              <w:rPr>
                <w:rFonts w:ascii="Tahoma" w:hAnsi="Tahoma" w:cs="Tahoma"/>
                <w:iCs/>
                <w:color w:val="333333"/>
                <w:sz w:val="14"/>
                <w:szCs w:val="14"/>
                <w:lang w:val="en-US" w:eastAsia="it-IT"/>
              </w:rPr>
              <w:t>Copyright © 202</w:t>
            </w:r>
            <w:r w:rsidR="00994C6A" w:rsidRPr="00A55CB5">
              <w:rPr>
                <w:rFonts w:ascii="Tahoma" w:hAnsi="Tahoma" w:cs="Tahoma"/>
                <w:iCs/>
                <w:color w:val="333333"/>
                <w:sz w:val="14"/>
                <w:szCs w:val="14"/>
                <w:lang w:val="en-US" w:eastAsia="it-IT"/>
              </w:rPr>
              <w:t>5</w:t>
            </w:r>
            <w:r w:rsidRPr="00A55CB5">
              <w:rPr>
                <w:rFonts w:ascii="Tahoma" w:hAnsi="Tahoma" w:cs="Tahoma"/>
                <w:iCs/>
                <w:color w:val="333333"/>
                <w:sz w:val="14"/>
                <w:szCs w:val="14"/>
                <w:lang w:val="en-US" w:eastAsia="it-IT"/>
              </w:rPr>
              <w:t>, AIDIC Servizi S.r.l.</w:t>
            </w:r>
            <w:r w:rsidRPr="00A55CB5">
              <w:rPr>
                <w:rFonts w:ascii="Tahoma" w:hAnsi="Tahoma" w:cs="Tahoma"/>
                <w:iCs/>
                <w:color w:val="333333"/>
                <w:sz w:val="14"/>
                <w:szCs w:val="14"/>
                <w:lang w:val="en-US" w:eastAsia="it-IT"/>
              </w:rPr>
              <w:br/>
            </w:r>
            <w:r w:rsidRPr="00A55CB5">
              <w:rPr>
                <w:rFonts w:ascii="Tahoma" w:hAnsi="Tahoma" w:cs="Tahoma"/>
                <w:b/>
                <w:iCs/>
                <w:color w:val="000000"/>
                <w:sz w:val="14"/>
                <w:szCs w:val="14"/>
                <w:lang w:val="en-US" w:eastAsia="it-IT"/>
              </w:rPr>
              <w:t>ISBN</w:t>
            </w:r>
            <w:r w:rsidRPr="00A55CB5">
              <w:rPr>
                <w:rFonts w:ascii="Tahoma" w:hAnsi="Tahoma" w:cs="Tahoma"/>
                <w:iCs/>
                <w:color w:val="000000"/>
                <w:sz w:val="14"/>
                <w:szCs w:val="14"/>
                <w:lang w:val="en-US" w:eastAsia="it-IT"/>
              </w:rPr>
              <w:t xml:space="preserve"> </w:t>
            </w:r>
            <w:r w:rsidR="003B49CD" w:rsidRPr="00A55CB5">
              <w:rPr>
                <w:rFonts w:ascii="Tahoma" w:hAnsi="Tahoma" w:cs="Tahoma"/>
                <w:sz w:val="14"/>
                <w:szCs w:val="14"/>
                <w:lang w:val="en-US"/>
              </w:rPr>
              <w:t>979-12-81206-1</w:t>
            </w:r>
            <w:r w:rsidR="00994C6A" w:rsidRPr="00A55CB5">
              <w:rPr>
                <w:rFonts w:ascii="Tahoma" w:hAnsi="Tahoma" w:cs="Tahoma"/>
                <w:sz w:val="14"/>
                <w:szCs w:val="14"/>
                <w:lang w:val="en-US"/>
              </w:rPr>
              <w:t>7</w:t>
            </w:r>
            <w:r w:rsidR="003B49CD" w:rsidRPr="00A55CB5">
              <w:rPr>
                <w:rFonts w:ascii="Tahoma" w:hAnsi="Tahoma" w:cs="Tahoma"/>
                <w:sz w:val="14"/>
                <w:szCs w:val="14"/>
                <w:lang w:val="en-US"/>
              </w:rPr>
              <w:t>-</w:t>
            </w:r>
            <w:r w:rsidR="00994C6A" w:rsidRPr="00A55CB5">
              <w:rPr>
                <w:rFonts w:ascii="Tahoma" w:hAnsi="Tahoma" w:cs="Tahoma"/>
                <w:sz w:val="14"/>
                <w:szCs w:val="14"/>
                <w:lang w:val="en-US"/>
              </w:rPr>
              <w:t>5</w:t>
            </w:r>
            <w:r w:rsidRPr="00A55CB5">
              <w:rPr>
                <w:rFonts w:ascii="Tahoma" w:hAnsi="Tahoma" w:cs="Tahoma"/>
                <w:iCs/>
                <w:color w:val="333333"/>
                <w:sz w:val="14"/>
                <w:szCs w:val="14"/>
                <w:lang w:val="en-US" w:eastAsia="it-IT"/>
              </w:rPr>
              <w:t xml:space="preserve">; </w:t>
            </w:r>
            <w:r w:rsidRPr="00A55CB5">
              <w:rPr>
                <w:rFonts w:ascii="Tahoma" w:hAnsi="Tahoma" w:cs="Tahoma"/>
                <w:b/>
                <w:iCs/>
                <w:color w:val="333333"/>
                <w:sz w:val="14"/>
                <w:szCs w:val="14"/>
                <w:lang w:val="en-US" w:eastAsia="it-IT"/>
              </w:rPr>
              <w:t>ISSN</w:t>
            </w:r>
            <w:r w:rsidRPr="00A55CB5">
              <w:rPr>
                <w:rFonts w:ascii="Tahoma" w:hAnsi="Tahoma" w:cs="Tahoma"/>
                <w:iCs/>
                <w:color w:val="333333"/>
                <w:sz w:val="14"/>
                <w:szCs w:val="14"/>
                <w:lang w:val="en-US" w:eastAsia="it-IT"/>
              </w:rPr>
              <w:t xml:space="preserve"> 2283-9216</w:t>
            </w:r>
          </w:p>
        </w:tc>
      </w:tr>
    </w:tbl>
    <w:bookmarkEnd w:id="0"/>
    <w:p w:rsidR="00E978D0" w:rsidRPr="00A55CB5" w:rsidRDefault="00416941" w:rsidP="00E978D0">
      <w:pPr>
        <w:pStyle w:val="CETTitle"/>
        <w:rPr>
          <w:lang w:val="en-US"/>
        </w:rPr>
      </w:pPr>
      <w:r w:rsidRPr="00A55CB5">
        <w:rPr>
          <w:rFonts w:cs="Arial"/>
          <w:b/>
          <w:bCs/>
          <w:color w:val="000000"/>
          <w:sz w:val="28"/>
          <w:szCs w:val="28"/>
          <w:lang w:val="en-US"/>
        </w:rPr>
        <w:t xml:space="preserve">Thermochemical </w:t>
      </w:r>
      <w:r w:rsidR="00827CED" w:rsidRPr="00A55CB5">
        <w:rPr>
          <w:rFonts w:cs="Arial"/>
          <w:b/>
          <w:bCs/>
          <w:color w:val="000000"/>
          <w:sz w:val="28"/>
          <w:szCs w:val="28"/>
          <w:lang w:val="en-US"/>
        </w:rPr>
        <w:t>V</w:t>
      </w:r>
      <w:r w:rsidRPr="00A55CB5">
        <w:rPr>
          <w:rFonts w:cs="Arial"/>
          <w:b/>
          <w:bCs/>
          <w:color w:val="000000"/>
          <w:sz w:val="28"/>
          <w:szCs w:val="28"/>
          <w:lang w:val="en-US"/>
        </w:rPr>
        <w:t>alorization of Açaí (</w:t>
      </w:r>
      <w:r w:rsidRPr="00A55CB5">
        <w:rPr>
          <w:rFonts w:cs="Arial"/>
          <w:b/>
          <w:bCs/>
          <w:i/>
          <w:iCs/>
          <w:sz w:val="28"/>
          <w:szCs w:val="28"/>
          <w:lang w:val="en-US"/>
        </w:rPr>
        <w:t>Euterpe oleracea</w:t>
      </w:r>
      <w:r w:rsidRPr="00A55CB5">
        <w:rPr>
          <w:rFonts w:cs="Arial"/>
          <w:b/>
          <w:bCs/>
          <w:color w:val="000000"/>
          <w:sz w:val="28"/>
          <w:szCs w:val="28"/>
          <w:lang w:val="en-US"/>
        </w:rPr>
        <w:t xml:space="preserve">) </w:t>
      </w:r>
      <w:r w:rsidR="00827CED" w:rsidRPr="00A55CB5">
        <w:rPr>
          <w:rFonts w:cs="Arial"/>
          <w:b/>
          <w:bCs/>
          <w:color w:val="000000"/>
          <w:sz w:val="28"/>
          <w:szCs w:val="28"/>
          <w:lang w:val="en-US"/>
        </w:rPr>
        <w:t>S</w:t>
      </w:r>
      <w:r w:rsidRPr="00A55CB5">
        <w:rPr>
          <w:rFonts w:cs="Arial"/>
          <w:b/>
          <w:bCs/>
          <w:color w:val="000000"/>
          <w:sz w:val="28"/>
          <w:szCs w:val="28"/>
          <w:lang w:val="en-US"/>
        </w:rPr>
        <w:t xml:space="preserve">eeds: </w:t>
      </w:r>
      <w:r w:rsidR="00827CED" w:rsidRPr="00A55CB5">
        <w:rPr>
          <w:rFonts w:cs="Arial"/>
          <w:b/>
          <w:bCs/>
          <w:color w:val="000000"/>
          <w:sz w:val="28"/>
          <w:szCs w:val="28"/>
          <w:lang w:val="en-US"/>
        </w:rPr>
        <w:t>A</w:t>
      </w:r>
      <w:r w:rsidRPr="00A55CB5">
        <w:rPr>
          <w:rFonts w:cs="Arial"/>
          <w:b/>
          <w:bCs/>
          <w:color w:val="000000"/>
          <w:sz w:val="28"/>
          <w:szCs w:val="28"/>
          <w:lang w:val="en-US"/>
        </w:rPr>
        <w:t xml:space="preserve"> </w:t>
      </w:r>
      <w:r w:rsidR="00827CED" w:rsidRPr="00A55CB5">
        <w:rPr>
          <w:rFonts w:cs="Arial"/>
          <w:b/>
          <w:bCs/>
          <w:color w:val="000000"/>
          <w:sz w:val="28"/>
          <w:szCs w:val="28"/>
          <w:lang w:val="en-US"/>
        </w:rPr>
        <w:t>S</w:t>
      </w:r>
      <w:r w:rsidRPr="00A55CB5">
        <w:rPr>
          <w:rFonts w:cs="Arial"/>
          <w:b/>
          <w:bCs/>
          <w:color w:val="000000"/>
          <w:sz w:val="28"/>
          <w:szCs w:val="28"/>
          <w:lang w:val="en-US"/>
        </w:rPr>
        <w:t xml:space="preserve">tudy </w:t>
      </w:r>
      <w:r w:rsidR="00827CED" w:rsidRPr="00A55CB5">
        <w:rPr>
          <w:rFonts w:cs="Arial"/>
          <w:b/>
          <w:bCs/>
          <w:color w:val="000000"/>
          <w:sz w:val="28"/>
          <w:szCs w:val="28"/>
          <w:lang w:val="en-US"/>
        </w:rPr>
        <w:t>U</w:t>
      </w:r>
      <w:r w:rsidRPr="00A55CB5">
        <w:rPr>
          <w:rFonts w:cs="Arial"/>
          <w:b/>
          <w:bCs/>
          <w:color w:val="000000"/>
          <w:sz w:val="28"/>
          <w:szCs w:val="28"/>
          <w:lang w:val="en-US"/>
        </w:rPr>
        <w:t xml:space="preserve">sing Gibbs </w:t>
      </w:r>
      <w:r w:rsidR="00827CED" w:rsidRPr="00A55CB5">
        <w:rPr>
          <w:rFonts w:cs="Arial"/>
          <w:b/>
          <w:bCs/>
          <w:color w:val="000000"/>
          <w:sz w:val="28"/>
          <w:szCs w:val="28"/>
          <w:lang w:val="en-US"/>
        </w:rPr>
        <w:t>E</w:t>
      </w:r>
      <w:r w:rsidRPr="00A55CB5">
        <w:rPr>
          <w:rFonts w:cs="Arial"/>
          <w:b/>
          <w:bCs/>
          <w:color w:val="000000"/>
          <w:sz w:val="28"/>
          <w:szCs w:val="28"/>
          <w:lang w:val="en-US"/>
        </w:rPr>
        <w:t xml:space="preserve">nergy </w:t>
      </w:r>
      <w:r w:rsidR="00827CED" w:rsidRPr="00A55CB5">
        <w:rPr>
          <w:rFonts w:cs="Arial"/>
          <w:b/>
          <w:bCs/>
          <w:color w:val="000000"/>
          <w:sz w:val="28"/>
          <w:szCs w:val="28"/>
          <w:lang w:val="en-US"/>
        </w:rPr>
        <w:t>M</w:t>
      </w:r>
      <w:r w:rsidRPr="00A55CB5">
        <w:rPr>
          <w:rFonts w:cs="Arial"/>
          <w:b/>
          <w:bCs/>
          <w:color w:val="000000"/>
          <w:sz w:val="28"/>
          <w:szCs w:val="28"/>
          <w:lang w:val="en-US"/>
        </w:rPr>
        <w:t xml:space="preserve">inimization </w:t>
      </w:r>
      <w:r w:rsidR="008B0029" w:rsidRPr="00A55CB5">
        <w:rPr>
          <w:rFonts w:cs="Arial"/>
          <w:b/>
          <w:bCs/>
          <w:color w:val="000000"/>
          <w:sz w:val="28"/>
          <w:szCs w:val="28"/>
          <w:lang w:val="en-US"/>
        </w:rPr>
        <w:t>a</w:t>
      </w:r>
      <w:r w:rsidRPr="00A55CB5">
        <w:rPr>
          <w:rFonts w:cs="Arial"/>
          <w:b/>
          <w:bCs/>
          <w:color w:val="000000"/>
          <w:sz w:val="28"/>
          <w:szCs w:val="28"/>
          <w:lang w:val="en-US"/>
        </w:rPr>
        <w:t xml:space="preserve">nd </w:t>
      </w:r>
      <w:r w:rsidR="00827CED" w:rsidRPr="00A55CB5">
        <w:rPr>
          <w:rFonts w:cs="Arial"/>
          <w:b/>
          <w:bCs/>
          <w:color w:val="000000"/>
          <w:sz w:val="28"/>
          <w:szCs w:val="28"/>
          <w:lang w:val="en-US"/>
        </w:rPr>
        <w:t>E</w:t>
      </w:r>
      <w:r w:rsidRPr="00A55CB5">
        <w:rPr>
          <w:rFonts w:cs="Arial"/>
          <w:b/>
          <w:bCs/>
          <w:color w:val="000000"/>
          <w:sz w:val="28"/>
          <w:szCs w:val="28"/>
          <w:lang w:val="en-US"/>
        </w:rPr>
        <w:t xml:space="preserve">ntropy </w:t>
      </w:r>
      <w:r w:rsidR="00827CED" w:rsidRPr="00A55CB5">
        <w:rPr>
          <w:rFonts w:cs="Arial"/>
          <w:b/>
          <w:bCs/>
          <w:color w:val="000000"/>
          <w:sz w:val="28"/>
          <w:szCs w:val="28"/>
          <w:lang w:val="en-US"/>
        </w:rPr>
        <w:t>M</w:t>
      </w:r>
      <w:r w:rsidRPr="00A55CB5">
        <w:rPr>
          <w:rFonts w:cs="Arial"/>
          <w:b/>
          <w:bCs/>
          <w:color w:val="000000"/>
          <w:sz w:val="28"/>
          <w:szCs w:val="28"/>
          <w:lang w:val="en-US"/>
        </w:rPr>
        <w:t xml:space="preserve">aximization </w:t>
      </w:r>
      <w:r w:rsidR="00827CED" w:rsidRPr="00A55CB5">
        <w:rPr>
          <w:rFonts w:cs="Arial"/>
          <w:b/>
          <w:bCs/>
          <w:color w:val="000000"/>
          <w:sz w:val="28"/>
          <w:szCs w:val="28"/>
          <w:lang w:val="en-US"/>
        </w:rPr>
        <w:t>M</w:t>
      </w:r>
      <w:r w:rsidRPr="00A55CB5">
        <w:rPr>
          <w:rFonts w:cs="Arial"/>
          <w:b/>
          <w:bCs/>
          <w:color w:val="000000"/>
          <w:sz w:val="28"/>
          <w:szCs w:val="28"/>
          <w:lang w:val="en-US"/>
        </w:rPr>
        <w:t>ethods</w:t>
      </w:r>
    </w:p>
    <w:p w:rsidR="00B57E6F" w:rsidRPr="00A55CB5" w:rsidRDefault="00416941" w:rsidP="003A25E4">
      <w:pPr>
        <w:rPr>
          <w:rFonts w:cs="Arial"/>
          <w:sz w:val="22"/>
          <w:szCs w:val="22"/>
          <w:lang w:val="en-US"/>
        </w:rPr>
      </w:pPr>
      <w:r w:rsidRPr="00A55CB5">
        <w:rPr>
          <w:rFonts w:cs="Arial"/>
          <w:sz w:val="22"/>
          <w:szCs w:val="22"/>
          <w:lang w:val="en-US"/>
        </w:rPr>
        <w:t>Yan Caio Morais da Costa</w:t>
      </w:r>
      <w:r w:rsidRPr="00A55CB5">
        <w:rPr>
          <w:rFonts w:cs="Arial"/>
          <w:sz w:val="22"/>
          <w:szCs w:val="22"/>
          <w:vertAlign w:val="superscript"/>
          <w:lang w:val="en-US"/>
        </w:rPr>
        <w:t>a</w:t>
      </w:r>
      <w:r w:rsidRPr="00A55CB5">
        <w:rPr>
          <w:rFonts w:cs="Arial"/>
          <w:sz w:val="22"/>
          <w:szCs w:val="22"/>
          <w:lang w:val="en-US"/>
        </w:rPr>
        <w:t>, Ana Carolina Portela Pessoa Coelho</w:t>
      </w:r>
      <w:r w:rsidRPr="00A55CB5">
        <w:rPr>
          <w:rFonts w:cs="Arial"/>
          <w:sz w:val="22"/>
          <w:szCs w:val="22"/>
          <w:vertAlign w:val="superscript"/>
          <w:lang w:val="en-US"/>
        </w:rPr>
        <w:t>a</w:t>
      </w:r>
      <w:r w:rsidRPr="00A55CB5">
        <w:rPr>
          <w:rFonts w:cs="Arial"/>
          <w:sz w:val="22"/>
          <w:szCs w:val="22"/>
          <w:lang w:val="en-US"/>
        </w:rPr>
        <w:t>, Julles Mitoura dos Santos Júnior</w:t>
      </w:r>
      <w:r w:rsidRPr="00A55CB5">
        <w:rPr>
          <w:rFonts w:cs="Arial"/>
          <w:sz w:val="22"/>
          <w:szCs w:val="22"/>
          <w:vertAlign w:val="superscript"/>
          <w:lang w:val="en-US"/>
        </w:rPr>
        <w:t>b</w:t>
      </w:r>
      <w:r w:rsidRPr="00A55CB5">
        <w:rPr>
          <w:rFonts w:cs="Arial"/>
          <w:sz w:val="22"/>
          <w:szCs w:val="22"/>
          <w:lang w:val="en-US"/>
        </w:rPr>
        <w:t>, Annamaria Dória Souza Vidotti</w:t>
      </w:r>
      <w:r w:rsidRPr="00A55CB5">
        <w:rPr>
          <w:rFonts w:cs="Arial"/>
          <w:sz w:val="22"/>
          <w:szCs w:val="22"/>
          <w:vertAlign w:val="superscript"/>
          <w:lang w:val="en-US"/>
        </w:rPr>
        <w:t>a</w:t>
      </w:r>
      <w:r w:rsidRPr="00A55CB5">
        <w:rPr>
          <w:rFonts w:cs="Arial"/>
          <w:sz w:val="22"/>
          <w:szCs w:val="22"/>
          <w:lang w:val="en-US"/>
        </w:rPr>
        <w:t>, Antonio Carlos Daltro de Freitas</w:t>
      </w:r>
      <w:r w:rsidRPr="00A55CB5">
        <w:rPr>
          <w:rFonts w:cs="Arial"/>
          <w:sz w:val="22"/>
          <w:szCs w:val="22"/>
          <w:vertAlign w:val="superscript"/>
          <w:lang w:val="en-US"/>
        </w:rPr>
        <w:t>b</w:t>
      </w:r>
      <w:r w:rsidRPr="00A55CB5">
        <w:rPr>
          <w:rFonts w:cs="Arial"/>
          <w:sz w:val="22"/>
          <w:szCs w:val="22"/>
          <w:lang w:val="en-US"/>
        </w:rPr>
        <w:t>, Reginaldo Guirardello</w:t>
      </w:r>
      <w:r w:rsidRPr="00A55CB5">
        <w:rPr>
          <w:rFonts w:cs="Arial"/>
          <w:sz w:val="22"/>
          <w:szCs w:val="22"/>
          <w:vertAlign w:val="superscript"/>
          <w:lang w:val="en-US"/>
        </w:rPr>
        <w:t>a*</w:t>
      </w:r>
    </w:p>
    <w:p w:rsidR="00416941" w:rsidRPr="00A55CB5" w:rsidRDefault="00B57E6F" w:rsidP="00B57E6F">
      <w:pPr>
        <w:pStyle w:val="CETAddress"/>
        <w:rPr>
          <w:vertAlign w:val="superscript"/>
          <w:lang w:val="en-US"/>
        </w:rPr>
      </w:pPr>
      <w:r w:rsidRPr="00A55CB5">
        <w:rPr>
          <w:vertAlign w:val="superscript"/>
          <w:lang w:val="en-US"/>
        </w:rPr>
        <w:t>a</w:t>
      </w:r>
      <w:r w:rsidR="00416941" w:rsidRPr="00A55CB5">
        <w:rPr>
          <w:rFonts w:cs="Arial"/>
          <w:szCs w:val="16"/>
          <w:lang w:val="en-US"/>
        </w:rPr>
        <w:t>Federal University of Maranhão: Chemical Engi</w:t>
      </w:r>
      <w:r w:rsidR="0009277E">
        <w:rPr>
          <w:rFonts w:cs="Arial"/>
          <w:szCs w:val="16"/>
          <w:lang w:val="en-US"/>
        </w:rPr>
        <w:t xml:space="preserve">neering Department, São Luís - </w:t>
      </w:r>
      <w:r w:rsidR="00416941" w:rsidRPr="00A55CB5">
        <w:rPr>
          <w:rFonts w:cs="Arial"/>
          <w:szCs w:val="16"/>
          <w:lang w:val="en-US"/>
        </w:rPr>
        <w:t>MA, Brazil</w:t>
      </w:r>
    </w:p>
    <w:p w:rsidR="00B57E6F" w:rsidRPr="00A55CB5" w:rsidRDefault="00416941" w:rsidP="00B57E6F">
      <w:pPr>
        <w:pStyle w:val="CETAddress"/>
        <w:rPr>
          <w:lang w:val="en-US"/>
        </w:rPr>
      </w:pPr>
      <w:r w:rsidRPr="00A55CB5">
        <w:rPr>
          <w:vertAlign w:val="superscript"/>
          <w:lang w:val="en-US"/>
        </w:rPr>
        <w:t xml:space="preserve"> </w:t>
      </w:r>
      <w:r w:rsidR="00B57E6F" w:rsidRPr="00A55CB5">
        <w:rPr>
          <w:vertAlign w:val="superscript"/>
          <w:lang w:val="en-US"/>
        </w:rPr>
        <w:t>b</w:t>
      </w:r>
      <w:r w:rsidRPr="00A55CB5">
        <w:rPr>
          <w:rFonts w:cs="Arial"/>
          <w:szCs w:val="16"/>
          <w:lang w:val="en-US"/>
        </w:rPr>
        <w:t>School of Chemical Engineering, University o</w:t>
      </w:r>
      <w:r w:rsidR="0009277E">
        <w:rPr>
          <w:rFonts w:cs="Arial"/>
          <w:szCs w:val="16"/>
          <w:lang w:val="en-US"/>
        </w:rPr>
        <w:t xml:space="preserve">f Campinas (UNICAMP), Campinas - </w:t>
      </w:r>
      <w:r w:rsidRPr="00A55CB5">
        <w:rPr>
          <w:rFonts w:cs="Arial"/>
          <w:szCs w:val="16"/>
          <w:lang w:val="en-US"/>
        </w:rPr>
        <w:t>SP, Brazil</w:t>
      </w:r>
      <w:r w:rsidR="00B57E6F" w:rsidRPr="00A55CB5">
        <w:rPr>
          <w:sz w:val="11"/>
          <w:szCs w:val="15"/>
          <w:lang w:val="en-US"/>
        </w:rPr>
        <w:t xml:space="preserve"> </w:t>
      </w:r>
    </w:p>
    <w:p w:rsidR="00B57E6F" w:rsidRPr="00A55CB5" w:rsidRDefault="00B57E6F" w:rsidP="00B57E6F">
      <w:pPr>
        <w:pStyle w:val="CETemail"/>
        <w:rPr>
          <w:lang w:val="en-US"/>
        </w:rPr>
      </w:pPr>
      <w:r w:rsidRPr="00A55CB5">
        <w:rPr>
          <w:lang w:val="en-US"/>
        </w:rPr>
        <w:t xml:space="preserve"> </w:t>
      </w:r>
      <w:hyperlink r:id="rId10" w:history="1">
        <w:r w:rsidR="00416941" w:rsidRPr="00A55CB5">
          <w:rPr>
            <w:rStyle w:val="Hyperlink"/>
            <w:rFonts w:cs="Arial"/>
            <w:color w:val="000000" w:themeColor="text1"/>
            <w:szCs w:val="16"/>
            <w:u w:val="none"/>
            <w:lang w:val="en-US"/>
          </w:rPr>
          <w:t>guira@feq.unicamp.br</w:t>
        </w:r>
      </w:hyperlink>
    </w:p>
    <w:p w:rsidR="006A6DE5" w:rsidRPr="00A55CB5" w:rsidRDefault="00C92186" w:rsidP="00DE2B1A">
      <w:pPr>
        <w:pStyle w:val="CETBodytext"/>
      </w:pPr>
      <w:r w:rsidRPr="00A55CB5">
        <w:rPr>
          <w:rFonts w:cs="Arial"/>
        </w:rPr>
        <w:t>The use of biomass as a primary source for</w:t>
      </w:r>
      <w:r w:rsidR="00780D19" w:rsidRPr="00A55CB5">
        <w:rPr>
          <w:rFonts w:cs="Arial"/>
        </w:rPr>
        <w:t xml:space="preserve"> production of</w:t>
      </w:r>
      <w:r w:rsidRPr="00A55CB5">
        <w:rPr>
          <w:rFonts w:cs="Arial"/>
        </w:rPr>
        <w:t xml:space="preserve"> hydrogen (H</w:t>
      </w:r>
      <w:r w:rsidRPr="00A55CB5">
        <w:rPr>
          <w:rFonts w:cs="Arial"/>
          <w:vertAlign w:val="subscript"/>
        </w:rPr>
        <w:t>2</w:t>
      </w:r>
      <w:r w:rsidRPr="00A55CB5">
        <w:rPr>
          <w:rFonts w:cs="Arial"/>
        </w:rPr>
        <w:t xml:space="preserve">) and synthesis gas (syngas) has gained significant attention due to its potential to diversify the global energy matrix. An example of biomass particularly relevant to Brazil is </w:t>
      </w:r>
      <w:r w:rsidRPr="00A55CB5">
        <w:rPr>
          <w:rFonts w:cs="Arial"/>
          <w:i/>
          <w:iCs/>
        </w:rPr>
        <w:t>Euterpe oleracea</w:t>
      </w:r>
      <w:r w:rsidRPr="00A55CB5">
        <w:rPr>
          <w:rFonts w:cs="Arial"/>
        </w:rPr>
        <w:t>, commonly known as açaí. The seeds of this fruit account for approximately 70% of its mass and are a major by-product of açaí pulp production. In this work, the thermodynamic analysis was performed using Gibbs energy minimization (</w:t>
      </w:r>
      <w:r w:rsidRPr="00A55CB5">
        <w:rPr>
          <w:rFonts w:cs="Arial"/>
          <w:i/>
          <w:iCs/>
        </w:rPr>
        <w:t>minG</w:t>
      </w:r>
      <w:r w:rsidRPr="00A55CB5">
        <w:rPr>
          <w:rFonts w:cs="Arial"/>
        </w:rPr>
        <w:t>) and entropy maximization (</w:t>
      </w:r>
      <w:r w:rsidRPr="00A55CB5">
        <w:rPr>
          <w:rFonts w:cs="Arial"/>
          <w:i/>
          <w:iCs/>
        </w:rPr>
        <w:t>maxS</w:t>
      </w:r>
      <w:r w:rsidRPr="00A55CB5">
        <w:rPr>
          <w:rFonts w:cs="Arial"/>
        </w:rPr>
        <w:t xml:space="preserve">) models in order to study the thermochemical characterization of açaí seeds. The optimization problems were formulated as nonlinear programming problems and solved using </w:t>
      </w:r>
      <w:r w:rsidRPr="00A55CB5">
        <w:rPr>
          <w:rFonts w:cs="Arial"/>
          <w:i/>
          <w:iCs/>
        </w:rPr>
        <w:t>GAMS</w:t>
      </w:r>
      <w:r w:rsidRPr="00A55CB5">
        <w:rPr>
          <w:rFonts w:cs="Arial"/>
        </w:rPr>
        <w:t xml:space="preserve"> and </w:t>
      </w:r>
      <w:r w:rsidRPr="00A55CB5">
        <w:rPr>
          <w:rFonts w:cs="Arial"/>
          <w:i/>
          <w:iCs/>
        </w:rPr>
        <w:t>TeS</w:t>
      </w:r>
      <w:r w:rsidRPr="00A55CB5">
        <w:rPr>
          <w:rFonts w:cs="Arial"/>
        </w:rPr>
        <w:t xml:space="preserve"> software’s. The reactions studied included Pyrolysis (PR), Autothermal Reforming (ATR), Steam Reforming (SR), and Supercritical Water Gasification (SCWG). The results showed that thermochemical valorization pathways are effective for generating H</w:t>
      </w:r>
      <w:r w:rsidRPr="00A55CB5">
        <w:rPr>
          <w:rFonts w:ascii="Cambria Math" w:hAnsi="Cambria Math" w:cs="Cambria Math"/>
        </w:rPr>
        <w:t>₂</w:t>
      </w:r>
      <w:r w:rsidRPr="00A55CB5">
        <w:rPr>
          <w:rFonts w:cs="Arial"/>
        </w:rPr>
        <w:t xml:space="preserve"> and syngas from açaí seeds. Among the various processes, ATR demonstrated promising results, with good productivity of H</w:t>
      </w:r>
      <w:r w:rsidRPr="00A55CB5">
        <w:rPr>
          <w:rFonts w:cs="Arial"/>
          <w:vertAlign w:val="subscript"/>
        </w:rPr>
        <w:t>2</w:t>
      </w:r>
      <w:r w:rsidRPr="00A55CB5">
        <w:rPr>
          <w:rFonts w:cs="Arial"/>
        </w:rPr>
        <w:t xml:space="preserve"> and syngas and nearly autothermal behavior, while SCWG achieved the high H</w:t>
      </w:r>
      <w:r w:rsidRPr="00A55CB5">
        <w:rPr>
          <w:rFonts w:ascii="Cambria Math" w:hAnsi="Cambria Math" w:cs="Cambria Math"/>
        </w:rPr>
        <w:t>₂</w:t>
      </w:r>
      <w:r w:rsidRPr="00A55CB5">
        <w:rPr>
          <w:rFonts w:cs="Arial"/>
        </w:rPr>
        <w:t xml:space="preserve"> production, showing </w:t>
      </w:r>
      <w:r w:rsidR="00A55CB5" w:rsidRPr="00A55CB5">
        <w:rPr>
          <w:rFonts w:cs="Arial"/>
        </w:rPr>
        <w:t>favorable</w:t>
      </w:r>
      <w:r w:rsidRPr="00A55CB5">
        <w:rPr>
          <w:rFonts w:cs="Arial"/>
        </w:rPr>
        <w:t xml:space="preserve"> energetic and reactional characteristics. Açaí seeds has proven to be a promising alternative for energy production through thermochemical processing, offering strong potential for generation of clean and renewable energy, particularly in Brazil's açaí-producing regions.</w:t>
      </w:r>
    </w:p>
    <w:p w:rsidR="00600535" w:rsidRPr="00A55CB5" w:rsidRDefault="00600535" w:rsidP="00600535">
      <w:pPr>
        <w:pStyle w:val="CETHeading1"/>
      </w:pPr>
      <w:r w:rsidRPr="00A55CB5">
        <w:t>Introduction</w:t>
      </w:r>
    </w:p>
    <w:p w:rsidR="00ED6EAE" w:rsidRPr="00A55CB5" w:rsidRDefault="00ED6EAE" w:rsidP="00ED6EAE">
      <w:pPr>
        <w:pStyle w:val="CETBodytext"/>
      </w:pPr>
      <w:r w:rsidRPr="00A55CB5">
        <w:t>According to 2023 data from the Brazilian Institute of Geography and Statistics (IBGE), Brazil is the world’s largest producer of açaí, with the highest levels of production concentrated in the North and Northeast regions. By 2021, Maranhão had ascended to third place in national açaí production, harvesting over 5,000 tons of fruit, underscoring its importance in the country’s açaí industry. Açaí production generates substantial waste, primarily in the form of seeds, which constitute about 70% of the fruit's total mass (Ribeiro et al., 2018). Given the large volume of this by-product, exploring methods to add value to açaí seed waste presents a promising area for research.</w:t>
      </w:r>
    </w:p>
    <w:p w:rsidR="00ED6EAE" w:rsidRPr="00A55CB5" w:rsidRDefault="00ED6EAE" w:rsidP="00ED6EAE">
      <w:pPr>
        <w:pStyle w:val="CETBodytext"/>
      </w:pPr>
      <w:r w:rsidRPr="00A55CB5">
        <w:t>Thermochemical processes are vital in the search for clean, renewable energy sources and can play a key role in the thermochemical recovery of various agro-industrial by-products. These processes facilitate the conversion of residual biomass, such as açaí seeds, into hydrogen—a highly efficient, low-carbon, and versatile fuel. Optimizing these processes through simulation models is essential for scaling them commercially and supporting the transition to a more sustainable energy system (Rahimi et al., 2022).</w:t>
      </w:r>
    </w:p>
    <w:p w:rsidR="00ED6EAE" w:rsidRPr="00A55CB5" w:rsidRDefault="00ED6EAE" w:rsidP="00ED6EAE">
      <w:pPr>
        <w:pStyle w:val="CETBodytext"/>
      </w:pPr>
      <w:r w:rsidRPr="00A55CB5">
        <w:t>Among thermochemical processes, pyrolysis (PR), steam reforming (SR), autothermal reforming (ATR), and supercritical water gasification (SCWG) are promising alternatives for the thermochemical valorization of carbon-rich biomasses like açaí seeds (Zhang et al., 2025).</w:t>
      </w:r>
    </w:p>
    <w:p w:rsidR="00ED6EAE" w:rsidRPr="00A55CB5" w:rsidRDefault="00ED6EAE" w:rsidP="00ED6EAE">
      <w:pPr>
        <w:pStyle w:val="CETBodytext"/>
      </w:pPr>
      <w:r w:rsidRPr="00A55CB5">
        <w:t xml:space="preserve">This study seeks to apply optimization techniques to calculate combined chemical and phase equilibrium in systems relevant to the thermochemical valorization of açaí seeds. The systems were </w:t>
      </w:r>
      <w:r w:rsidR="00A55CB5" w:rsidRPr="00A55CB5">
        <w:t>analyzed</w:t>
      </w:r>
      <w:r w:rsidRPr="00A55CB5">
        <w:t xml:space="preserve"> using Gibbs energy minimization (at constant pressure and temperature) and entropy maximization (at constant pressure and enthalpy). Specifically, the study focuses on the thermodynamic characterization of PR, SR, ATR, and </w:t>
      </w:r>
      <w:r w:rsidRPr="00A55CB5">
        <w:lastRenderedPageBreak/>
        <w:t>SCWG processes. The findings of this work will contribute to a broader understanding of the</w:t>
      </w:r>
      <w:r w:rsidR="00187D2D" w:rsidRPr="00A55CB5">
        <w:t xml:space="preserve"> thermodynamic characteristics of these</w:t>
      </w:r>
      <w:r w:rsidRPr="00A55CB5">
        <w:t xml:space="preserve"> processes involved in </w:t>
      </w:r>
      <w:r w:rsidR="00A55CB5" w:rsidRPr="00A55CB5">
        <w:t>valorizing</w:t>
      </w:r>
      <w:r w:rsidRPr="00A55CB5">
        <w:t xml:space="preserve"> residual biomass in the açaí production chain, thereby facilitating more targeted research on producing energy vectors from this underutilized raw material in Brazil.</w:t>
      </w:r>
    </w:p>
    <w:p w:rsidR="00453E24" w:rsidRPr="00A55CB5" w:rsidRDefault="00E059DB" w:rsidP="00453E24">
      <w:pPr>
        <w:pStyle w:val="CETHeading1"/>
      </w:pPr>
      <w:r w:rsidRPr="00A55CB5">
        <w:t>Methodology</w:t>
      </w:r>
    </w:p>
    <w:p w:rsidR="00453E24" w:rsidRPr="00A55CB5" w:rsidRDefault="00824B51" w:rsidP="00453E24">
      <w:pPr>
        <w:pStyle w:val="CETheadingx"/>
      </w:pPr>
      <w:r w:rsidRPr="00A55CB5">
        <w:t>Formulation as a Gibbs energy minimization (</w:t>
      </w:r>
      <w:r w:rsidRPr="00A55CB5">
        <w:rPr>
          <w:i/>
          <w:iCs/>
        </w:rPr>
        <w:t>minG</w:t>
      </w:r>
      <w:r w:rsidRPr="00A55CB5">
        <w:t>) model</w:t>
      </w:r>
    </w:p>
    <w:p w:rsidR="00453E24" w:rsidRPr="00A55CB5" w:rsidRDefault="00824B51" w:rsidP="007E4D5B">
      <w:pPr>
        <w:pStyle w:val="CETBodytext"/>
        <w:spacing w:after="40"/>
        <w:rPr>
          <w:rFonts w:cs="Arial"/>
        </w:rPr>
      </w:pPr>
      <w:r w:rsidRPr="00A55CB5">
        <w:t>T</w:t>
      </w:r>
      <w:r w:rsidRPr="00A55CB5">
        <w:rPr>
          <w:rFonts w:cs="Arial"/>
        </w:rPr>
        <w:t>he equilibrium composition of a system with multiple components and phases, under conditions of constant pressure and temperature, can be determined by directly minimizing the Gibbs free energy of the system, taking into account the number of moles of each component in each phase. Equation 1 illustrates this approach for a system where gas, liquid, and solid phases may form (Freitas and Guirardello, 2014).</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2114"/>
      </w:tblGrid>
      <w:tr w:rsidR="00E05FE8" w:rsidRPr="00A55CB5" w:rsidTr="00F62927">
        <w:tc>
          <w:tcPr>
            <w:tcW w:w="6663" w:type="dxa"/>
          </w:tcPr>
          <w:p w:rsidR="00E05FE8" w:rsidRPr="00A55CB5" w:rsidRDefault="00EC2E2E" w:rsidP="00F62927">
            <w:pPr>
              <w:pStyle w:val="CETBodytext"/>
              <w:spacing w:line="240" w:lineRule="auto"/>
              <w:rPr>
                <w:rFonts w:cs="Arial"/>
                <w:szCs w:val="18"/>
              </w:rPr>
            </w:pPr>
            <m:oMathPara>
              <m:oMathParaPr>
                <m:jc m:val="left"/>
              </m:oMathParaPr>
              <m:oMath>
                <m:func>
                  <m:funcPr>
                    <m:ctrlPr>
                      <w:rPr>
                        <w:rFonts w:ascii="Cambria Math" w:hAnsi="Cambria Math" w:cs="Arial"/>
                        <w:i/>
                        <w:szCs w:val="18"/>
                      </w:rPr>
                    </m:ctrlPr>
                  </m:funcPr>
                  <m:fName>
                    <m:r>
                      <m:rPr>
                        <m:sty m:val="p"/>
                      </m:rPr>
                      <w:rPr>
                        <w:rFonts w:ascii="Cambria Math" w:hAnsi="Cambria Math" w:cs="Arial"/>
                        <w:szCs w:val="18"/>
                      </w:rPr>
                      <m:t>min</m:t>
                    </m:r>
                  </m:fName>
                  <m:e>
                    <m:r>
                      <w:rPr>
                        <w:rFonts w:ascii="Cambria Math" w:hAnsi="Cambria Math" w:cs="Arial"/>
                        <w:szCs w:val="18"/>
                      </w:rPr>
                      <m:t>G</m:t>
                    </m:r>
                  </m:e>
                </m:func>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g</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rPr>
                          <m:t>i</m:t>
                        </m:r>
                      </m:sub>
                      <m:sup>
                        <m:r>
                          <w:rPr>
                            <w:rFonts w:ascii="Cambria Math" w:hAnsi="Cambria Math" w:cs="Arial"/>
                            <w:szCs w:val="18"/>
                          </w:rPr>
                          <m:t>g</m:t>
                        </m:r>
                      </m:sup>
                    </m:sSubSup>
                  </m:e>
                </m:nary>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l</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rPr>
                          <m:t>i</m:t>
                        </m:r>
                      </m:sub>
                      <m:sup>
                        <m:r>
                          <w:rPr>
                            <w:rFonts w:ascii="Cambria Math" w:hAnsi="Cambria Math" w:cs="Arial"/>
                            <w:szCs w:val="18"/>
                          </w:rPr>
                          <m:t>l</m:t>
                        </m:r>
                      </m:sup>
                    </m:sSubSup>
                  </m:e>
                </m:nary>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s</m:t>
                        </m:r>
                      </m:sup>
                    </m:sSubSup>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rPr>
                          <m:t>i</m:t>
                        </m:r>
                      </m:sub>
                      <m:sup>
                        <m:r>
                          <w:rPr>
                            <w:rFonts w:ascii="Cambria Math" w:hAnsi="Cambria Math" w:cs="Arial"/>
                            <w:szCs w:val="18"/>
                          </w:rPr>
                          <m:t>s</m:t>
                        </m:r>
                      </m:sup>
                    </m:sSubSup>
                  </m:e>
                </m:nary>
              </m:oMath>
            </m:oMathPara>
          </w:p>
        </w:tc>
        <w:tc>
          <w:tcPr>
            <w:tcW w:w="2114" w:type="dxa"/>
            <w:vAlign w:val="center"/>
          </w:tcPr>
          <w:p w:rsidR="00E05FE8" w:rsidRPr="00A55CB5" w:rsidRDefault="00E05FE8" w:rsidP="00F62927">
            <w:pPr>
              <w:pStyle w:val="CETBodytext"/>
              <w:spacing w:line="240" w:lineRule="auto"/>
              <w:jc w:val="right"/>
              <w:rPr>
                <w:rFonts w:cs="Arial"/>
                <w:szCs w:val="18"/>
              </w:rPr>
            </w:pPr>
            <w:r>
              <w:rPr>
                <w:rFonts w:cs="Arial"/>
                <w:szCs w:val="18"/>
              </w:rPr>
              <w:t>(1</w:t>
            </w:r>
            <w:r w:rsidRPr="00A55CB5">
              <w:rPr>
                <w:rFonts w:cs="Arial"/>
                <w:szCs w:val="18"/>
              </w:rPr>
              <w:t>)</w:t>
            </w:r>
          </w:p>
        </w:tc>
      </w:tr>
    </w:tbl>
    <w:p w:rsidR="00824B51" w:rsidRPr="00A55CB5" w:rsidRDefault="003C75CB" w:rsidP="007E4D5B">
      <w:pPr>
        <w:pStyle w:val="CETBodytext"/>
        <w:spacing w:before="40" w:after="40"/>
        <w:rPr>
          <w:rFonts w:cs="Arial"/>
        </w:rPr>
      </w:pPr>
      <w:r>
        <w:rPr>
          <w:rFonts w:cs="Arial"/>
        </w:rPr>
        <w:t>w</w:t>
      </w:r>
      <w:r w:rsidR="00824B51" w:rsidRPr="00A55CB5">
        <w:rPr>
          <w:rFonts w:cs="Arial"/>
        </w:rPr>
        <w:t xml:space="preserve">here </w:t>
      </w:r>
      <m:oMath>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k</m:t>
            </m:r>
          </m:sup>
        </m:sSubSup>
      </m:oMath>
      <w:r w:rsidR="00824B51" w:rsidRPr="00A55CB5">
        <w:rPr>
          <w:rFonts w:cs="Arial"/>
        </w:rPr>
        <w:t xml:space="preserve"> is the number of moles of component </w:t>
      </w:r>
      <w:r w:rsidR="00824B51" w:rsidRPr="00A55CB5">
        <w:rPr>
          <w:rFonts w:cs="Arial"/>
          <w:i/>
          <w:iCs/>
        </w:rPr>
        <w:t>i</w:t>
      </w:r>
      <w:r w:rsidR="00824B51" w:rsidRPr="00A55CB5">
        <w:rPr>
          <w:rFonts w:cs="Arial"/>
        </w:rPr>
        <w:t xml:space="preserve"> in phase </w:t>
      </w:r>
      <w:r w:rsidR="00824B51" w:rsidRPr="00A55CB5">
        <w:rPr>
          <w:rFonts w:cs="Arial"/>
          <w:i/>
          <w:iCs/>
        </w:rPr>
        <w:t>k</w:t>
      </w:r>
      <w:r w:rsidR="00824B51" w:rsidRPr="00A55CB5">
        <w:rPr>
          <w:rFonts w:cs="Arial"/>
        </w:rPr>
        <w:t xml:space="preserve">, and </w:t>
      </w:r>
      <m:oMath>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rPr>
              <m:t>i</m:t>
            </m:r>
          </m:sub>
          <m:sup>
            <m:r>
              <w:rPr>
                <w:rFonts w:ascii="Cambria Math" w:hAnsi="Cambria Math" w:cs="Arial"/>
                <w:szCs w:val="18"/>
              </w:rPr>
              <m:t>k</m:t>
            </m:r>
          </m:sup>
        </m:sSubSup>
      </m:oMath>
      <w:r w:rsidR="00824B51" w:rsidRPr="00A55CB5">
        <w:rPr>
          <w:rFonts w:cs="Arial"/>
          <w:szCs w:val="18"/>
        </w:rPr>
        <w:t xml:space="preserve"> </w:t>
      </w:r>
      <w:r w:rsidR="00824B51" w:rsidRPr="00A55CB5">
        <w:rPr>
          <w:rFonts w:cs="Arial"/>
        </w:rPr>
        <w:t xml:space="preserve">is the chemical potential of component </w:t>
      </w:r>
      <w:r w:rsidR="00824B51" w:rsidRPr="00A55CB5">
        <w:rPr>
          <w:rFonts w:cs="Arial"/>
          <w:i/>
          <w:iCs/>
        </w:rPr>
        <w:t>i</w:t>
      </w:r>
      <w:r w:rsidR="00824B51" w:rsidRPr="00A55CB5">
        <w:rPr>
          <w:rFonts w:cs="Arial"/>
        </w:rPr>
        <w:t xml:space="preserve"> in phase </w:t>
      </w:r>
      <w:r w:rsidR="00824B51" w:rsidRPr="00A55CB5">
        <w:rPr>
          <w:rFonts w:cs="Arial"/>
          <w:i/>
          <w:iCs/>
        </w:rPr>
        <w:t>k</w:t>
      </w:r>
      <w:r w:rsidR="00824B51" w:rsidRPr="00A55CB5">
        <w:rPr>
          <w:rFonts w:cs="Arial"/>
        </w:rPr>
        <w:t>. The restrictions for the model are found in the non-negativity of the number of moles of each component in each phase and the balance of moles obtained by the atomic balance for reactive systems (Equation 2).</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22"/>
        <w:gridCol w:w="555"/>
      </w:tblGrid>
      <w:tr w:rsidR="00824B51" w:rsidRPr="00A55CB5" w:rsidTr="00115174">
        <w:tc>
          <w:tcPr>
            <w:tcW w:w="8222" w:type="dxa"/>
          </w:tcPr>
          <w:p w:rsidR="00824B51" w:rsidRPr="00A55CB5" w:rsidRDefault="00EC2E2E" w:rsidP="00115174">
            <w:pPr>
              <w:pStyle w:val="CETBodytext"/>
              <w:spacing w:line="240" w:lineRule="auto"/>
              <w:rPr>
                <w:rFonts w:cs="Arial"/>
                <w:szCs w:val="18"/>
              </w:rPr>
            </w:pPr>
            <m:oMathPara>
              <m:oMathParaPr>
                <m:jc m:val="left"/>
              </m:oMathParaPr>
              <m:oMath>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mi</m:t>
                        </m:r>
                      </m:sub>
                    </m:sSub>
                    <m:d>
                      <m:dPr>
                        <m:ctrlPr>
                          <w:rPr>
                            <w:rFonts w:ascii="Cambria Math" w:hAnsi="Cambria Math" w:cs="Arial"/>
                            <w:i/>
                            <w:szCs w:val="18"/>
                          </w:rPr>
                        </m:ctrlPr>
                      </m:dPr>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g</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l</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s</m:t>
                            </m:r>
                          </m:sup>
                        </m:sSubSup>
                      </m:e>
                    </m:d>
                    <m:r>
                      <w:rPr>
                        <w:rFonts w:ascii="Cambria Math" w:hAnsi="Cambria Math" w:cs="Arial"/>
                        <w:szCs w:val="18"/>
                      </w:rPr>
                      <m:t>=</m:t>
                    </m:r>
                  </m:e>
                </m:nary>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
                      <m:sSubPr>
                        <m:ctrlPr>
                          <w:rPr>
                            <w:rFonts w:ascii="Cambria Math" w:hAnsi="Cambria Math" w:cs="Arial"/>
                            <w:i/>
                            <w:szCs w:val="18"/>
                          </w:rPr>
                        </m:ctrlPr>
                      </m:sSubPr>
                      <m:e>
                        <m:r>
                          <w:rPr>
                            <w:rFonts w:ascii="Cambria Math" w:hAnsi="Cambria Math" w:cs="Arial"/>
                            <w:szCs w:val="18"/>
                          </w:rPr>
                          <m:t>a</m:t>
                        </m:r>
                      </m:e>
                      <m:sub>
                        <m:r>
                          <w:rPr>
                            <w:rFonts w:ascii="Cambria Math" w:hAnsi="Cambria Math" w:cs="Arial"/>
                            <w:szCs w:val="18"/>
                          </w:rPr>
                          <m:t>mi</m:t>
                        </m:r>
                      </m:sub>
                    </m:sSub>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0</m:t>
                        </m:r>
                      </m:sup>
                    </m:sSubSup>
                  </m:e>
                </m:nary>
                <m:r>
                  <w:rPr>
                    <w:rFonts w:ascii="Cambria Math" w:hAnsi="Cambria Math" w:cs="Arial"/>
                    <w:szCs w:val="18"/>
                  </w:rPr>
                  <m:t xml:space="preserve">,            m=1,…,NE,    </m:t>
                </m:r>
                <m:sSubSup>
                  <m:sSubSupPr>
                    <m:ctrlPr>
                      <w:rPr>
                        <w:rFonts w:ascii="Cambria Math" w:hAnsi="Cambria Math" w:cs="Arial"/>
                        <w:i/>
                        <w:szCs w:val="18"/>
                      </w:rPr>
                    </m:ctrlPr>
                  </m:sSubSupPr>
                  <m:e>
                    <m:r>
                      <w:rPr>
                        <w:rFonts w:ascii="Cambria Math" w:hAnsi="Cambria Math" w:cs="Arial"/>
                        <w:szCs w:val="18"/>
                      </w:rPr>
                      <m:t xml:space="preserve">           n</m:t>
                    </m:r>
                  </m:e>
                  <m:sub>
                    <m:r>
                      <w:rPr>
                        <w:rFonts w:ascii="Cambria Math" w:hAnsi="Cambria Math" w:cs="Arial"/>
                        <w:szCs w:val="18"/>
                      </w:rPr>
                      <m:t>i</m:t>
                    </m:r>
                  </m:sub>
                  <m:sup>
                    <m:r>
                      <w:rPr>
                        <w:rFonts w:ascii="Cambria Math" w:hAnsi="Cambria Math" w:cs="Arial"/>
                        <w:szCs w:val="18"/>
                      </w:rPr>
                      <m:t>g</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l</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s</m:t>
                    </m:r>
                  </m:sup>
                </m:sSubSup>
                <m:r>
                  <w:rPr>
                    <w:rFonts w:ascii="Cambria Math" w:hAnsi="Cambria Math" w:cs="Arial"/>
                    <w:szCs w:val="18"/>
                  </w:rPr>
                  <m:t>≥0</m:t>
                </m:r>
              </m:oMath>
            </m:oMathPara>
          </w:p>
        </w:tc>
        <w:tc>
          <w:tcPr>
            <w:tcW w:w="555" w:type="dxa"/>
            <w:vAlign w:val="center"/>
          </w:tcPr>
          <w:p w:rsidR="00824B51" w:rsidRPr="00A55CB5" w:rsidRDefault="00824B51" w:rsidP="00115174">
            <w:pPr>
              <w:pStyle w:val="CETBodytext"/>
              <w:spacing w:line="240" w:lineRule="auto"/>
              <w:jc w:val="right"/>
              <w:rPr>
                <w:rFonts w:cs="Arial"/>
                <w:szCs w:val="18"/>
              </w:rPr>
            </w:pPr>
            <w:r w:rsidRPr="00A55CB5">
              <w:rPr>
                <w:rFonts w:cs="Arial"/>
                <w:szCs w:val="18"/>
              </w:rPr>
              <w:t>(2)</w:t>
            </w:r>
          </w:p>
        </w:tc>
      </w:tr>
    </w:tbl>
    <w:p w:rsidR="00824B51" w:rsidRPr="00A55CB5" w:rsidRDefault="00E11580" w:rsidP="00A27525">
      <w:pPr>
        <w:pStyle w:val="CETBodytext"/>
        <w:spacing w:before="40" w:after="40"/>
        <w:rPr>
          <w:rFonts w:cs="Arial"/>
        </w:rPr>
      </w:pPr>
      <w:r>
        <w:rPr>
          <w:rFonts w:cs="Arial"/>
        </w:rPr>
        <w:t>w</w:t>
      </w:r>
      <w:r w:rsidR="00824B51" w:rsidRPr="00A55CB5">
        <w:rPr>
          <w:rFonts w:cs="Arial"/>
        </w:rPr>
        <w:t xml:space="preserve">here </w:t>
      </w:r>
      <w:proofErr w:type="spellStart"/>
      <w:r w:rsidR="00824B51" w:rsidRPr="00A55CB5">
        <w:rPr>
          <w:rFonts w:cs="Arial"/>
          <w:i/>
          <w:iCs/>
        </w:rPr>
        <w:t>a</w:t>
      </w:r>
      <w:r w:rsidR="00824B51" w:rsidRPr="00A55CB5">
        <w:rPr>
          <w:rFonts w:cs="Arial"/>
          <w:i/>
          <w:iCs/>
          <w:vertAlign w:val="subscript"/>
        </w:rPr>
        <w:t>mi</w:t>
      </w:r>
      <w:proofErr w:type="spellEnd"/>
      <w:r w:rsidR="00824B51" w:rsidRPr="00A55CB5">
        <w:rPr>
          <w:rFonts w:cs="Arial"/>
        </w:rPr>
        <w:t xml:space="preserve"> is the number of atoms of element </w:t>
      </w:r>
      <w:r w:rsidR="00824B51" w:rsidRPr="00A55CB5">
        <w:rPr>
          <w:rFonts w:cs="Arial"/>
          <w:i/>
          <w:iCs/>
        </w:rPr>
        <w:t>i</w:t>
      </w:r>
      <w:r w:rsidR="00824B51" w:rsidRPr="00A55CB5">
        <w:rPr>
          <w:rFonts w:cs="Arial"/>
        </w:rPr>
        <w:t xml:space="preserve"> in component </w:t>
      </w:r>
      <w:r w:rsidR="00824B51" w:rsidRPr="00A55CB5">
        <w:rPr>
          <w:rFonts w:cs="Arial"/>
          <w:i/>
          <w:iCs/>
        </w:rPr>
        <w:t>m</w:t>
      </w:r>
      <w:r w:rsidR="00824B51" w:rsidRPr="00A55CB5">
        <w:rPr>
          <w:rFonts w:cs="Arial"/>
        </w:rPr>
        <w:t xml:space="preserve"> and </w:t>
      </w:r>
      <w:r w:rsidR="00824B51" w:rsidRPr="00A55CB5">
        <w:rPr>
          <w:rFonts w:cs="Arial"/>
          <w:i/>
          <w:iCs/>
        </w:rPr>
        <w:t>NE</w:t>
      </w:r>
      <w:r w:rsidR="00824B51" w:rsidRPr="00A55CB5">
        <w:rPr>
          <w:rFonts w:cs="Arial"/>
        </w:rPr>
        <w:t xml:space="preserve"> is the number of elements. The </w:t>
      </w:r>
      <w:r w:rsidR="00824B51" w:rsidRPr="00A55CB5">
        <w:rPr>
          <w:rFonts w:cs="Arial"/>
          <w:i/>
          <w:iCs/>
        </w:rPr>
        <w:t>minG</w:t>
      </w:r>
      <w:r w:rsidR="00824B51" w:rsidRPr="00A55CB5">
        <w:rPr>
          <w:rFonts w:cs="Arial"/>
        </w:rPr>
        <w:t xml:space="preserve"> was calculated considering that the components were only on gaseous phase and there was only coke formation (represent as pure carbon</w:t>
      </w:r>
      <w:r w:rsidR="00E33643" w:rsidRPr="00A55CB5">
        <w:rPr>
          <w:rFonts w:cs="Arial"/>
        </w:rPr>
        <w:t xml:space="preserve">, </w:t>
      </w:r>
      <w:r w:rsidR="00E33643" w:rsidRPr="00A55CB5">
        <w:rPr>
          <w:rFonts w:cs="Arial"/>
          <w:i/>
          <w:iCs/>
        </w:rPr>
        <w:t>C</w:t>
      </w:r>
      <w:r w:rsidR="00E33643" w:rsidRPr="00A55CB5">
        <w:rPr>
          <w:rFonts w:cs="Arial"/>
          <w:i/>
          <w:iCs/>
          <w:vertAlign w:val="subscript"/>
        </w:rPr>
        <w:t>(s)</w:t>
      </w:r>
      <w:r w:rsidR="00824B51" w:rsidRPr="00A55CB5">
        <w:rPr>
          <w:rFonts w:cs="Arial"/>
        </w:rPr>
        <w:t>) in solid phase. These considerations were used in previous research with good results (Dos Santos et al., 2021). Equation 3 represents the Gibbs energy equation with these considerations.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2114"/>
      </w:tblGrid>
      <w:tr w:rsidR="00824B51" w:rsidRPr="00A55CB5" w:rsidTr="00115174">
        <w:tc>
          <w:tcPr>
            <w:tcW w:w="6663" w:type="dxa"/>
          </w:tcPr>
          <w:p w:rsidR="00824B51" w:rsidRPr="00A55CB5" w:rsidRDefault="00824B51" w:rsidP="00B72F93">
            <w:pPr>
              <w:pStyle w:val="CETBodytext"/>
              <w:spacing w:line="240" w:lineRule="auto"/>
              <w:rPr>
                <w:rFonts w:cs="Arial"/>
                <w:szCs w:val="18"/>
              </w:rPr>
            </w:pPr>
            <m:oMathPara>
              <m:oMathParaPr>
                <m:jc m:val="left"/>
              </m:oMathParaPr>
              <m:oMath>
                <m:r>
                  <w:rPr>
                    <w:rFonts w:ascii="Cambria Math" w:hAnsi="Cambria Math" w:cs="Arial"/>
                    <w:szCs w:val="18"/>
                  </w:rPr>
                  <m:t>G=</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g</m:t>
                        </m:r>
                      </m:sup>
                    </m:sSubSup>
                    <m:d>
                      <m:dPr>
                        <m:ctrlPr>
                          <w:rPr>
                            <w:rFonts w:ascii="Cambria Math" w:hAnsi="Cambria Math" w:cs="Arial"/>
                            <w:i/>
                            <w:szCs w:val="18"/>
                          </w:rPr>
                        </m:ctrlPr>
                      </m:dPr>
                      <m:e>
                        <m:sSubSup>
                          <m:sSubSupPr>
                            <m:ctrlPr>
                              <w:rPr>
                                <w:rFonts w:ascii="Cambria Math" w:hAnsi="Cambria Math" w:cs="Arial"/>
                                <w:i/>
                                <w:szCs w:val="18"/>
                              </w:rPr>
                            </m:ctrlPr>
                          </m:sSubSupPr>
                          <m:e>
                            <m:r>
                              <w:rPr>
                                <w:rFonts w:ascii="Cambria Math" w:hAnsi="Cambria Math" w:cs="Arial"/>
                                <w:szCs w:val="18"/>
                              </w:rPr>
                              <m:t>μ</m:t>
                            </m:r>
                          </m:e>
                          <m:sub>
                            <m:r>
                              <w:rPr>
                                <w:rFonts w:ascii="Cambria Math" w:hAnsi="Cambria Math" w:cs="Arial"/>
                                <w:szCs w:val="18"/>
                              </w:rPr>
                              <m:t>i</m:t>
                            </m:r>
                          </m:sub>
                          <m:sup>
                            <m:r>
                              <w:rPr>
                                <w:rFonts w:ascii="Cambria Math" w:hAnsi="Cambria Math" w:cs="Arial"/>
                                <w:szCs w:val="18"/>
                              </w:rPr>
                              <m:t>g</m:t>
                            </m:r>
                          </m:sup>
                        </m:sSubSup>
                        <m:r>
                          <w:rPr>
                            <w:rFonts w:ascii="Cambria Math" w:hAnsi="Cambria Math" w:cs="Arial"/>
                            <w:szCs w:val="18"/>
                          </w:rPr>
                          <m:t>+RT</m:t>
                        </m:r>
                        <m:d>
                          <m:dPr>
                            <m:ctrlPr>
                              <w:rPr>
                                <w:rFonts w:ascii="Cambria Math" w:hAnsi="Cambria Math" w:cs="Arial"/>
                                <w:i/>
                                <w:szCs w:val="18"/>
                              </w:rPr>
                            </m:ctrlPr>
                          </m:dPr>
                          <m:e>
                            <m:func>
                              <m:funcPr>
                                <m:ctrlPr>
                                  <w:rPr>
                                    <w:rFonts w:ascii="Cambria Math" w:hAnsi="Cambria Math" w:cs="Arial"/>
                                    <w:i/>
                                    <w:szCs w:val="18"/>
                                  </w:rPr>
                                </m:ctrlPr>
                              </m:funcPr>
                              <m:fName>
                                <m:r>
                                  <m:rPr>
                                    <m:sty m:val="p"/>
                                  </m:rPr>
                                  <w:rPr>
                                    <w:rFonts w:ascii="Cambria Math" w:hAnsi="Cambria Math" w:cs="Arial"/>
                                    <w:szCs w:val="18"/>
                                  </w:rPr>
                                  <m:t>ln</m:t>
                                </m:r>
                              </m:fName>
                              <m:e>
                                <m:r>
                                  <w:rPr>
                                    <w:rFonts w:ascii="Cambria Math" w:hAnsi="Cambria Math" w:cs="Arial"/>
                                    <w:szCs w:val="18"/>
                                  </w:rPr>
                                  <m:t>P</m:t>
                                </m:r>
                              </m:e>
                            </m:func>
                            <m:r>
                              <w:rPr>
                                <w:rFonts w:ascii="Cambria Math" w:hAnsi="Cambria Math" w:cs="Arial"/>
                                <w:szCs w:val="18"/>
                              </w:rPr>
                              <m:t>+</m:t>
                            </m:r>
                            <m:func>
                              <m:funcPr>
                                <m:ctrlPr>
                                  <w:rPr>
                                    <w:rFonts w:ascii="Cambria Math" w:hAnsi="Cambria Math" w:cs="Arial"/>
                                    <w:i/>
                                    <w:szCs w:val="18"/>
                                  </w:rPr>
                                </m:ctrlPr>
                              </m:funcPr>
                              <m:fName>
                                <m:r>
                                  <m:rPr>
                                    <m:sty m:val="p"/>
                                  </m:rPr>
                                  <w:rPr>
                                    <w:rFonts w:ascii="Cambria Math" w:hAnsi="Cambria Math" w:cs="Arial"/>
                                    <w:szCs w:val="18"/>
                                  </w:rPr>
                                  <m:t>ln</m:t>
                                </m:r>
                              </m:fName>
                              <m:e>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i</m:t>
                                    </m:r>
                                  </m:sub>
                                </m:sSub>
                              </m:e>
                            </m:func>
                            <m:r>
                              <w:rPr>
                                <w:rFonts w:ascii="Cambria Math" w:hAnsi="Cambria Math" w:cs="Arial"/>
                                <w:szCs w:val="18"/>
                              </w:rPr>
                              <m:t>+</m:t>
                            </m:r>
                            <m:func>
                              <m:funcPr>
                                <m:ctrlPr>
                                  <w:rPr>
                                    <w:rFonts w:ascii="Cambria Math" w:hAnsi="Cambria Math" w:cs="Arial"/>
                                    <w:i/>
                                    <w:szCs w:val="18"/>
                                  </w:rPr>
                                </m:ctrlPr>
                              </m:funcPr>
                              <m:fName>
                                <m:r>
                                  <m:rPr>
                                    <m:sty m:val="p"/>
                                  </m:rPr>
                                  <w:rPr>
                                    <w:rFonts w:ascii="Cambria Math" w:hAnsi="Cambria Math" w:cs="Arial"/>
                                    <w:szCs w:val="18"/>
                                  </w:rPr>
                                  <m:t>ln</m:t>
                                </m:r>
                              </m:fName>
                              <m:e>
                                <m:sSub>
                                  <m:sSubPr>
                                    <m:ctrlPr>
                                      <w:rPr>
                                        <w:rFonts w:ascii="Cambria Math" w:hAnsi="Cambria Math" w:cs="Arial"/>
                                        <w:i/>
                                        <w:szCs w:val="18"/>
                                      </w:rPr>
                                    </m:ctrlPr>
                                  </m:sSubPr>
                                  <m:e>
                                    <m:acc>
                                      <m:accPr>
                                        <m:ctrlPr>
                                          <w:rPr>
                                            <w:rFonts w:ascii="Cambria Math" w:hAnsi="Cambria Math" w:cs="Arial"/>
                                            <w:i/>
                                            <w:szCs w:val="18"/>
                                          </w:rPr>
                                        </m:ctrlPr>
                                      </m:accPr>
                                      <m:e>
                                        <m:r>
                                          <w:rPr>
                                            <w:rFonts w:ascii="Cambria Math" w:hAnsi="Cambria Math" w:cs="Arial"/>
                                            <w:szCs w:val="18"/>
                                          </w:rPr>
                                          <m:t>ϕ</m:t>
                                        </m:r>
                                      </m:e>
                                    </m:acc>
                                  </m:e>
                                  <m:sub>
                                    <m:r>
                                      <w:rPr>
                                        <w:rFonts w:ascii="Cambria Math" w:hAnsi="Cambria Math" w:cs="Arial"/>
                                        <w:szCs w:val="18"/>
                                      </w:rPr>
                                      <m:t>i</m:t>
                                    </m:r>
                                  </m:sub>
                                </m:sSub>
                              </m:e>
                            </m:func>
                          </m:e>
                        </m:d>
                      </m:e>
                    </m:d>
                  </m:e>
                </m:nary>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n</m:t>
                    </m:r>
                  </m:e>
                  <m:sub>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(s)</m:t>
                        </m:r>
                      </m:sub>
                    </m:sSub>
                  </m:sub>
                </m:sSub>
                <m:sSub>
                  <m:sSubPr>
                    <m:ctrlPr>
                      <w:rPr>
                        <w:rFonts w:ascii="Cambria Math" w:hAnsi="Cambria Math" w:cs="Arial"/>
                        <w:i/>
                        <w:szCs w:val="18"/>
                      </w:rPr>
                    </m:ctrlPr>
                  </m:sSubPr>
                  <m:e>
                    <m:r>
                      <w:rPr>
                        <w:rFonts w:ascii="Cambria Math" w:hAnsi="Cambria Math" w:cs="Arial"/>
                        <w:szCs w:val="18"/>
                      </w:rPr>
                      <m:t>μ</m:t>
                    </m:r>
                  </m:e>
                  <m:sub>
                    <m:sSub>
                      <m:sSubPr>
                        <m:ctrlPr>
                          <w:rPr>
                            <w:rFonts w:ascii="Cambria Math" w:hAnsi="Cambria Math" w:cs="Arial"/>
                            <w:i/>
                            <w:szCs w:val="18"/>
                          </w:rPr>
                        </m:ctrlPr>
                      </m:sSubPr>
                      <m:e>
                        <m:r>
                          <w:rPr>
                            <w:rFonts w:ascii="Cambria Math" w:hAnsi="Cambria Math" w:cs="Arial"/>
                            <w:szCs w:val="18"/>
                          </w:rPr>
                          <m:t>C</m:t>
                        </m:r>
                      </m:e>
                      <m:sub>
                        <m:r>
                          <w:rPr>
                            <w:rFonts w:ascii="Cambria Math" w:hAnsi="Cambria Math" w:cs="Arial"/>
                            <w:szCs w:val="18"/>
                          </w:rPr>
                          <m:t>(s)</m:t>
                        </m:r>
                      </m:sub>
                    </m:sSub>
                  </m:sub>
                </m:sSub>
              </m:oMath>
            </m:oMathPara>
          </w:p>
        </w:tc>
        <w:tc>
          <w:tcPr>
            <w:tcW w:w="2114" w:type="dxa"/>
            <w:vAlign w:val="center"/>
          </w:tcPr>
          <w:p w:rsidR="00824B51" w:rsidRPr="00A55CB5" w:rsidRDefault="00824B51" w:rsidP="00115174">
            <w:pPr>
              <w:pStyle w:val="CETBodytext"/>
              <w:spacing w:line="240" w:lineRule="auto"/>
              <w:jc w:val="right"/>
              <w:rPr>
                <w:rFonts w:cs="Arial"/>
                <w:szCs w:val="18"/>
              </w:rPr>
            </w:pPr>
            <w:r w:rsidRPr="00A55CB5">
              <w:rPr>
                <w:rFonts w:cs="Arial"/>
                <w:szCs w:val="18"/>
              </w:rPr>
              <w:t>(3)</w:t>
            </w:r>
          </w:p>
        </w:tc>
      </w:tr>
    </w:tbl>
    <w:p w:rsidR="00E563D8" w:rsidRPr="00A55CB5" w:rsidRDefault="00E563D8" w:rsidP="00885050">
      <w:pPr>
        <w:pStyle w:val="CETBodytext"/>
        <w:spacing w:before="20"/>
        <w:rPr>
          <w:rFonts w:cs="Arial"/>
        </w:rPr>
      </w:pPr>
      <w:r w:rsidRPr="00A55CB5">
        <w:t xml:space="preserve">Here, </w:t>
      </w:r>
      <w:r w:rsidRPr="00A55CB5">
        <w:rPr>
          <w:rStyle w:val="katex-mathml"/>
          <w:i/>
          <w:iCs/>
        </w:rPr>
        <w:t>P</w:t>
      </w:r>
      <w:r w:rsidRPr="00A55CB5">
        <w:t xml:space="preserve"> represents pressure, </w:t>
      </w:r>
      <w:r w:rsidRPr="00A55CB5">
        <w:rPr>
          <w:rStyle w:val="katex-mathml"/>
          <w:i/>
          <w:iCs/>
        </w:rPr>
        <w:t>T</w:t>
      </w:r>
      <w:r w:rsidRPr="00A55CB5">
        <w:t xml:space="preserve"> is temperature, </w:t>
      </w:r>
      <w:r w:rsidRPr="00A55CB5">
        <w:rPr>
          <w:rStyle w:val="katex-mathml"/>
          <w:i/>
          <w:iCs/>
        </w:rPr>
        <w:t>R</w:t>
      </w:r>
      <w:r w:rsidRPr="00A55CB5">
        <w:t xml:space="preserve"> is the universal gas constant, </w:t>
      </w:r>
      <m:oMath>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i</m:t>
            </m:r>
          </m:sub>
        </m:sSub>
      </m:oMath>
      <w:r w:rsidRPr="00A55CB5">
        <w:rPr>
          <w:szCs w:val="18"/>
        </w:rPr>
        <w:t xml:space="preserve"> </w:t>
      </w:r>
      <w:r w:rsidRPr="00A55CB5">
        <w:t xml:space="preserve">is the mole fraction of gas component </w:t>
      </w:r>
      <w:r w:rsidRPr="00A55CB5">
        <w:rPr>
          <w:rStyle w:val="mord"/>
          <w:i/>
          <w:iCs/>
        </w:rPr>
        <w:t>i</w:t>
      </w:r>
      <w:r w:rsidRPr="00A55CB5">
        <w:t xml:space="preserve">, and </w:t>
      </w:r>
      <m:oMath>
        <m:sSub>
          <m:sSubPr>
            <m:ctrlPr>
              <w:rPr>
                <w:rFonts w:ascii="Cambria Math" w:hAnsi="Cambria Math" w:cs="Arial"/>
                <w:i/>
                <w:szCs w:val="18"/>
              </w:rPr>
            </m:ctrlPr>
          </m:sSubPr>
          <m:e>
            <m:acc>
              <m:accPr>
                <m:ctrlPr>
                  <w:rPr>
                    <w:rFonts w:ascii="Cambria Math" w:hAnsi="Cambria Math" w:cs="Arial"/>
                    <w:i/>
                    <w:szCs w:val="18"/>
                  </w:rPr>
                </m:ctrlPr>
              </m:accPr>
              <m:e>
                <m:r>
                  <w:rPr>
                    <w:rFonts w:ascii="Cambria Math" w:hAnsi="Cambria Math" w:cs="Arial"/>
                    <w:szCs w:val="18"/>
                  </w:rPr>
                  <m:t>ϕ</m:t>
                </m:r>
              </m:e>
            </m:acc>
          </m:e>
          <m:sub>
            <m:r>
              <w:rPr>
                <w:rFonts w:ascii="Cambria Math" w:hAnsi="Cambria Math" w:cs="Arial"/>
                <w:szCs w:val="18"/>
              </w:rPr>
              <m:t>i</m:t>
            </m:r>
          </m:sub>
        </m:sSub>
      </m:oMath>
      <w:r w:rsidRPr="00A55CB5">
        <w:rPr>
          <w:rStyle w:val="vlist-s"/>
        </w:rPr>
        <w:t>​</w:t>
      </w:r>
      <w:r w:rsidRPr="00A55CB5">
        <w:t xml:space="preserve"> is the fugacity coefficient of component </w:t>
      </w:r>
      <w:r w:rsidRPr="00A55CB5">
        <w:rPr>
          <w:rStyle w:val="mord"/>
          <w:i/>
          <w:iCs/>
        </w:rPr>
        <w:t>i</w:t>
      </w:r>
      <w:r w:rsidRPr="00A55CB5">
        <w:t xml:space="preserve">. </w:t>
      </w:r>
      <w:r w:rsidR="008725D3" w:rsidRPr="00A55CB5">
        <w:t xml:space="preserve"> The </w:t>
      </w:r>
      <w:r w:rsidR="008725D3" w:rsidRPr="00A55CB5">
        <w:rPr>
          <w:i/>
          <w:iCs/>
        </w:rPr>
        <w:t>minG</w:t>
      </w:r>
      <w:r w:rsidR="008725D3" w:rsidRPr="00A55CB5">
        <w:t xml:space="preserve"> model allows for the analysis of the reaction system under isothermal and isobaric conditions, meaning the operating temperature remains constant throughout the process simulation.</w:t>
      </w:r>
    </w:p>
    <w:p w:rsidR="00453E24" w:rsidRPr="00A55CB5" w:rsidRDefault="00E563D8" w:rsidP="00453E24">
      <w:pPr>
        <w:pStyle w:val="CETheadingx"/>
        <w:rPr>
          <w:rFonts w:cs="Arial"/>
        </w:rPr>
      </w:pPr>
      <w:r w:rsidRPr="00A55CB5">
        <w:rPr>
          <w:rFonts w:cs="Arial"/>
        </w:rPr>
        <w:t>Formulation as an entropy maximization (</w:t>
      </w:r>
      <w:r w:rsidRPr="00A55CB5">
        <w:rPr>
          <w:rFonts w:cs="Arial"/>
          <w:i/>
          <w:iCs/>
        </w:rPr>
        <w:t>maxS</w:t>
      </w:r>
      <w:r w:rsidRPr="00A55CB5">
        <w:rPr>
          <w:rFonts w:cs="Arial"/>
        </w:rPr>
        <w:t>) model</w:t>
      </w:r>
    </w:p>
    <w:p w:rsidR="00E563D8" w:rsidRPr="00A55CB5" w:rsidRDefault="00F67197" w:rsidP="006F6492">
      <w:pPr>
        <w:pStyle w:val="CETBodytext"/>
        <w:spacing w:after="40"/>
      </w:pPr>
      <w:r w:rsidRPr="00A55CB5">
        <w:t xml:space="preserve">Thermodynamic equilibrium can also be studied by maximizing the entropy of the system </w:t>
      </w:r>
      <w:r w:rsidR="00F9588C" w:rsidRPr="00F9588C">
        <w:t xml:space="preserve">under conditions </w:t>
      </w:r>
      <w:r w:rsidR="00F9588C">
        <w:t xml:space="preserve">of </w:t>
      </w:r>
      <w:r w:rsidRPr="00A55CB5">
        <w:t>constant pressure and enthalpy</w:t>
      </w:r>
      <w:r w:rsidR="00F9588C">
        <w:t>,</w:t>
      </w:r>
      <w:r w:rsidRPr="00A55CB5">
        <w:t xml:space="preserve"> as presented in Equation </w:t>
      </w:r>
      <w:r w:rsidR="00BB7840" w:rsidRPr="00A55CB5">
        <w:t>4</w:t>
      </w:r>
      <w:r w:rsidR="00076A13">
        <w:t xml:space="preserve">, </w:t>
      </w:r>
      <w:r w:rsidR="00A611FB">
        <w:t>satisfying the atom balance Eq. (2)</w:t>
      </w:r>
      <w:r w:rsidR="00C57DDC">
        <w:t xml:space="preserve"> and </w:t>
      </w:r>
      <m:oMath>
        <m:sSubSup>
          <m:sSubSupPr>
            <m:ctrlPr>
              <w:rPr>
                <w:rFonts w:ascii="Cambria Math" w:hAnsi="Cambria Math"/>
                <w:i/>
              </w:rPr>
            </m:ctrlPr>
          </m:sSubSupPr>
          <m:e>
            <m:r>
              <w:rPr>
                <w:rFonts w:ascii="Cambria Math" w:hAnsi="Cambria Math"/>
              </w:rPr>
              <m:t>n</m:t>
            </m:r>
          </m:e>
          <m:sub>
            <m:r>
              <w:rPr>
                <w:rFonts w:ascii="Cambria Math" w:hAnsi="Cambria Math"/>
              </w:rPr>
              <m:t>i</m:t>
            </m:r>
          </m:sub>
          <m:sup>
            <m:r>
              <w:rPr>
                <w:rFonts w:ascii="Cambria Math" w:hAnsi="Cambria Math"/>
              </w:rPr>
              <m:t>k</m:t>
            </m:r>
          </m:sup>
        </m:sSubSup>
        <m:r>
          <w:rPr>
            <w:rFonts w:ascii="Cambria Math" w:hAnsi="Cambria Math"/>
          </w:rPr>
          <m:t>≥0</m:t>
        </m:r>
      </m:oMath>
      <w:r w:rsidR="00C57DDC">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3"/>
        <w:gridCol w:w="2114"/>
      </w:tblGrid>
      <w:tr w:rsidR="0069107B" w:rsidRPr="00A55CB5" w:rsidTr="009A6A70">
        <w:tc>
          <w:tcPr>
            <w:tcW w:w="6663" w:type="dxa"/>
          </w:tcPr>
          <w:p w:rsidR="0069107B" w:rsidRPr="00A55CB5" w:rsidRDefault="00EC2E2E" w:rsidP="009A6A70">
            <w:pPr>
              <w:pStyle w:val="CETBodytext"/>
              <w:spacing w:line="240" w:lineRule="auto"/>
              <w:rPr>
                <w:rFonts w:cs="Arial"/>
                <w:szCs w:val="18"/>
              </w:rPr>
            </w:pPr>
            <m:oMathPara>
              <m:oMathParaPr>
                <m:jc m:val="left"/>
              </m:oMathParaPr>
              <m:oMath>
                <m:func>
                  <m:funcPr>
                    <m:ctrlPr>
                      <w:rPr>
                        <w:rFonts w:ascii="Cambria Math" w:hAnsi="Cambria Math" w:cs="Arial"/>
                        <w:i/>
                        <w:szCs w:val="18"/>
                      </w:rPr>
                    </m:ctrlPr>
                  </m:funcPr>
                  <m:fName>
                    <m:r>
                      <m:rPr>
                        <m:sty m:val="p"/>
                      </m:rPr>
                      <w:rPr>
                        <w:rFonts w:ascii="Cambria Math" w:hAnsi="Cambria Math" w:cs="Arial"/>
                        <w:szCs w:val="18"/>
                      </w:rPr>
                      <m:t>max</m:t>
                    </m:r>
                  </m:fName>
                  <m:e>
                    <m:r>
                      <w:rPr>
                        <w:rFonts w:ascii="Cambria Math" w:hAnsi="Cambria Math" w:cs="Arial"/>
                        <w:szCs w:val="18"/>
                      </w:rPr>
                      <m:t>S</m:t>
                    </m:r>
                  </m:e>
                </m:func>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g</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rPr>
                          <m:t>i</m:t>
                        </m:r>
                      </m:sub>
                      <m:sup>
                        <m:r>
                          <w:rPr>
                            <w:rFonts w:ascii="Cambria Math" w:hAnsi="Cambria Math" w:cs="Arial"/>
                            <w:szCs w:val="18"/>
                          </w:rPr>
                          <m:t>g</m:t>
                        </m:r>
                      </m:sup>
                    </m:sSubSup>
                  </m:e>
                </m:nary>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l</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rPr>
                          <m:t>i</m:t>
                        </m:r>
                      </m:sub>
                      <m:sup>
                        <m:r>
                          <w:rPr>
                            <w:rFonts w:ascii="Cambria Math" w:hAnsi="Cambria Math" w:cs="Arial"/>
                            <w:szCs w:val="18"/>
                          </w:rPr>
                          <m:t>l</m:t>
                        </m:r>
                      </m:sup>
                    </m:sSubSup>
                  </m:e>
                </m:nary>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s</m:t>
                        </m:r>
                      </m:sup>
                    </m:sSubSup>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rPr>
                          <m:t>i</m:t>
                        </m:r>
                      </m:sub>
                      <m:sup>
                        <m:r>
                          <w:rPr>
                            <w:rFonts w:ascii="Cambria Math" w:hAnsi="Cambria Math" w:cs="Arial"/>
                            <w:szCs w:val="18"/>
                          </w:rPr>
                          <m:t>s</m:t>
                        </m:r>
                      </m:sup>
                    </m:sSubSup>
                  </m:e>
                </m:nary>
              </m:oMath>
            </m:oMathPara>
          </w:p>
        </w:tc>
        <w:tc>
          <w:tcPr>
            <w:tcW w:w="2114" w:type="dxa"/>
            <w:vAlign w:val="center"/>
          </w:tcPr>
          <w:p w:rsidR="0069107B" w:rsidRPr="00A55CB5" w:rsidRDefault="0069107B" w:rsidP="009A6A70">
            <w:pPr>
              <w:pStyle w:val="CETBodytext"/>
              <w:spacing w:line="240" w:lineRule="auto"/>
              <w:jc w:val="right"/>
              <w:rPr>
                <w:rFonts w:cs="Arial"/>
                <w:szCs w:val="18"/>
              </w:rPr>
            </w:pPr>
            <w:r>
              <w:rPr>
                <w:rFonts w:cs="Arial"/>
                <w:szCs w:val="18"/>
              </w:rPr>
              <w:t>(4</w:t>
            </w:r>
            <w:r w:rsidRPr="00A55CB5">
              <w:rPr>
                <w:rFonts w:cs="Arial"/>
                <w:szCs w:val="18"/>
              </w:rPr>
              <w:t>)</w:t>
            </w:r>
          </w:p>
        </w:tc>
      </w:tr>
    </w:tbl>
    <w:p w:rsidR="00F67197" w:rsidRPr="00A55CB5" w:rsidRDefault="002168B6" w:rsidP="009B0FDB">
      <w:pPr>
        <w:pStyle w:val="CETBodytext"/>
        <w:spacing w:before="40" w:after="40"/>
      </w:pPr>
      <w:r>
        <w:t>w</w:t>
      </w:r>
      <w:r w:rsidR="00B177A1">
        <w:t>here</w:t>
      </w:r>
      <w:r w:rsidR="00F67197" w:rsidRPr="00A55CB5">
        <w:t xml:space="preserve"> </w:t>
      </w:r>
      <m:oMath>
        <m:sSubSup>
          <m:sSubSupPr>
            <m:ctrlPr>
              <w:rPr>
                <w:rFonts w:ascii="Cambria Math" w:hAnsi="Cambria Math" w:cs="Arial"/>
                <w:i/>
                <w:szCs w:val="18"/>
              </w:rPr>
            </m:ctrlPr>
          </m:sSubSupPr>
          <m:e>
            <m:r>
              <w:rPr>
                <w:rFonts w:ascii="Cambria Math" w:hAnsi="Cambria Math" w:cs="Arial"/>
                <w:szCs w:val="18"/>
              </w:rPr>
              <m:t>S</m:t>
            </m:r>
          </m:e>
          <m:sub>
            <m:r>
              <w:rPr>
                <w:rFonts w:ascii="Cambria Math" w:hAnsi="Cambria Math" w:cs="Arial"/>
                <w:szCs w:val="18"/>
              </w:rPr>
              <m:t>i</m:t>
            </m:r>
          </m:sub>
          <m:sup>
            <m:r>
              <w:rPr>
                <w:rFonts w:ascii="Cambria Math" w:hAnsi="Cambria Math" w:cs="Arial"/>
                <w:szCs w:val="18"/>
              </w:rPr>
              <m:t>k</m:t>
            </m:r>
          </m:sup>
        </m:sSubSup>
      </m:oMath>
      <w:r w:rsidR="00B177A1">
        <w:rPr>
          <w:szCs w:val="18"/>
        </w:rPr>
        <w:t xml:space="preserve"> </w:t>
      </w:r>
      <w:r w:rsidR="00F67197" w:rsidRPr="00A55CB5">
        <w:t xml:space="preserve">represent the entropy of component </w:t>
      </w:r>
      <w:proofErr w:type="spellStart"/>
      <w:r w:rsidR="00F67197" w:rsidRPr="00A55CB5">
        <w:rPr>
          <w:i/>
          <w:iCs/>
        </w:rPr>
        <w:t>i</w:t>
      </w:r>
      <w:proofErr w:type="spellEnd"/>
      <w:r w:rsidR="00F67197" w:rsidRPr="00A55CB5">
        <w:t xml:space="preserve"> in phase </w:t>
      </w:r>
      <w:r w:rsidR="00F67197" w:rsidRPr="00A55CB5">
        <w:rPr>
          <w:i/>
          <w:iCs/>
        </w:rPr>
        <w:t>k</w:t>
      </w:r>
      <w:r w:rsidR="00F67197" w:rsidRPr="00A55CB5">
        <w:t xml:space="preserve">. The restrictions mentioned above for non-negativity of number of moles and atom balance (Equation 2) are </w:t>
      </w:r>
      <w:r w:rsidR="00113D36">
        <w:t xml:space="preserve">also </w:t>
      </w:r>
      <w:r w:rsidR="00F67197" w:rsidRPr="00A55CB5">
        <w:t xml:space="preserve">necessary for the </w:t>
      </w:r>
      <w:r w:rsidR="00F67197" w:rsidRPr="00A55CB5">
        <w:rPr>
          <w:i/>
          <w:iCs/>
        </w:rPr>
        <w:t>maxS</w:t>
      </w:r>
      <w:r w:rsidR="00113D36">
        <w:t xml:space="preserve"> model</w:t>
      </w:r>
      <w:r w:rsidR="00F67197" w:rsidRPr="00A55CB5">
        <w:t xml:space="preserve">, with the addition of conservation of enthalpy and non-negativity of absolute temperature, represented </w:t>
      </w:r>
      <w:r w:rsidR="001B0575">
        <w:t>by</w:t>
      </w:r>
      <w:r w:rsidR="00F67197" w:rsidRPr="00A55CB5">
        <w:t xml:space="preserve"> Equation </w:t>
      </w:r>
      <w:r w:rsidR="00BB7840" w:rsidRPr="00A55CB5">
        <w:t>5</w:t>
      </w:r>
      <w:r w:rsidR="00F67197" w:rsidRPr="00A55CB5">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71"/>
        <w:gridCol w:w="1406"/>
      </w:tblGrid>
      <w:tr w:rsidR="00F67197" w:rsidRPr="00A55CB5" w:rsidTr="00115174">
        <w:tc>
          <w:tcPr>
            <w:tcW w:w="7371" w:type="dxa"/>
          </w:tcPr>
          <w:p w:rsidR="00F67197" w:rsidRPr="00A55CB5" w:rsidRDefault="00EC2E2E" w:rsidP="00115174">
            <w:pPr>
              <w:pStyle w:val="CETBodytext"/>
              <w:spacing w:line="240" w:lineRule="auto"/>
              <w:rPr>
                <w:rFonts w:cs="Arial"/>
                <w:szCs w:val="18"/>
              </w:rPr>
            </w:pPr>
            <m:oMathPara>
              <m:oMathParaPr>
                <m:jc m:val="left"/>
              </m:oMathParaPr>
              <m:oMath>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d>
                      <m:dPr>
                        <m:ctrlPr>
                          <w:rPr>
                            <w:rFonts w:ascii="Cambria Math" w:hAnsi="Cambria Math" w:cs="Arial"/>
                            <w:i/>
                            <w:szCs w:val="18"/>
                          </w:rPr>
                        </m:ctrlPr>
                      </m:dPr>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g</m:t>
                            </m:r>
                          </m:sup>
                        </m:sSubSup>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i</m:t>
                            </m:r>
                          </m:sub>
                          <m:sup>
                            <m:r>
                              <w:rPr>
                                <w:rFonts w:ascii="Cambria Math" w:hAnsi="Cambria Math" w:cs="Arial"/>
                                <w:szCs w:val="18"/>
                              </w:rPr>
                              <m:t>g</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l</m:t>
                            </m:r>
                          </m:sup>
                        </m:sSubSup>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i</m:t>
                            </m:r>
                          </m:sub>
                          <m:sup>
                            <m:r>
                              <w:rPr>
                                <w:rFonts w:ascii="Cambria Math" w:hAnsi="Cambria Math" w:cs="Arial"/>
                                <w:szCs w:val="18"/>
                              </w:rPr>
                              <m:t>l</m:t>
                            </m:r>
                          </m:sup>
                        </m:sSubSup>
                        <m:r>
                          <w:rPr>
                            <w:rFonts w:ascii="Cambria Math" w:hAnsi="Cambria Math" w:cs="Arial"/>
                            <w:szCs w:val="18"/>
                          </w:rPr>
                          <m:t>+</m:t>
                        </m:r>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s</m:t>
                            </m:r>
                          </m:sup>
                        </m:sSubSup>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i</m:t>
                            </m:r>
                          </m:sub>
                          <m:sup>
                            <m:r>
                              <w:rPr>
                                <w:rFonts w:ascii="Cambria Math" w:hAnsi="Cambria Math" w:cs="Arial"/>
                                <w:szCs w:val="18"/>
                              </w:rPr>
                              <m:t>s</m:t>
                            </m:r>
                          </m:sup>
                        </m:sSubSup>
                      </m:e>
                    </m:d>
                  </m:e>
                </m:nary>
                <m:r>
                  <w:rPr>
                    <w:rFonts w:ascii="Cambria Math" w:hAnsi="Cambria Math" w:cs="Arial"/>
                    <w:szCs w:val="18"/>
                  </w:rPr>
                  <m:t>=</m:t>
                </m:r>
                <m:nary>
                  <m:naryPr>
                    <m:chr m:val="∑"/>
                    <m:limLoc m:val="undOvr"/>
                    <m:ctrlPr>
                      <w:rPr>
                        <w:rFonts w:ascii="Cambria Math" w:hAnsi="Cambria Math" w:cs="Arial"/>
                        <w:i/>
                        <w:szCs w:val="18"/>
                      </w:rPr>
                    </m:ctrlPr>
                  </m:naryPr>
                  <m:sub>
                    <m:r>
                      <w:rPr>
                        <w:rFonts w:ascii="Cambria Math" w:hAnsi="Cambria Math" w:cs="Arial"/>
                        <w:szCs w:val="18"/>
                      </w:rPr>
                      <m:t>i=1</m:t>
                    </m:r>
                  </m:sub>
                  <m:sup>
                    <m:r>
                      <w:rPr>
                        <w:rFonts w:ascii="Cambria Math" w:hAnsi="Cambria Math" w:cs="Arial"/>
                        <w:szCs w:val="18"/>
                      </w:rPr>
                      <m:t>NC</m:t>
                    </m:r>
                  </m:sup>
                  <m:e>
                    <m:sSubSup>
                      <m:sSubSupPr>
                        <m:ctrlPr>
                          <w:rPr>
                            <w:rFonts w:ascii="Cambria Math" w:hAnsi="Cambria Math" w:cs="Arial"/>
                            <w:i/>
                            <w:szCs w:val="18"/>
                          </w:rPr>
                        </m:ctrlPr>
                      </m:sSubSupPr>
                      <m:e>
                        <m:r>
                          <w:rPr>
                            <w:rFonts w:ascii="Cambria Math" w:hAnsi="Cambria Math" w:cs="Arial"/>
                            <w:szCs w:val="18"/>
                          </w:rPr>
                          <m:t>n</m:t>
                        </m:r>
                      </m:e>
                      <m:sub>
                        <m:r>
                          <w:rPr>
                            <w:rFonts w:ascii="Cambria Math" w:hAnsi="Cambria Math" w:cs="Arial"/>
                            <w:szCs w:val="18"/>
                          </w:rPr>
                          <m:t>i</m:t>
                        </m:r>
                      </m:sub>
                      <m:sup>
                        <m:r>
                          <w:rPr>
                            <w:rFonts w:ascii="Cambria Math" w:hAnsi="Cambria Math" w:cs="Arial"/>
                            <w:szCs w:val="18"/>
                          </w:rPr>
                          <m:t>0</m:t>
                        </m:r>
                      </m:sup>
                    </m:sSubSup>
                    <m:sSubSup>
                      <m:sSubSupPr>
                        <m:ctrlPr>
                          <w:rPr>
                            <w:rFonts w:ascii="Cambria Math" w:hAnsi="Cambria Math" w:cs="Arial"/>
                            <w:i/>
                            <w:szCs w:val="18"/>
                          </w:rPr>
                        </m:ctrlPr>
                      </m:sSubSupPr>
                      <m:e>
                        <m:r>
                          <w:rPr>
                            <w:rFonts w:ascii="Cambria Math" w:hAnsi="Cambria Math" w:cs="Arial"/>
                            <w:szCs w:val="18"/>
                          </w:rPr>
                          <m:t>H</m:t>
                        </m:r>
                      </m:e>
                      <m:sub>
                        <m:r>
                          <w:rPr>
                            <w:rFonts w:ascii="Cambria Math" w:hAnsi="Cambria Math" w:cs="Arial"/>
                            <w:szCs w:val="18"/>
                          </w:rPr>
                          <m:t>i</m:t>
                        </m:r>
                      </m:sub>
                      <m:sup>
                        <m:r>
                          <w:rPr>
                            <w:rFonts w:ascii="Cambria Math" w:hAnsi="Cambria Math" w:cs="Arial"/>
                            <w:szCs w:val="18"/>
                          </w:rPr>
                          <m:t>0</m:t>
                        </m:r>
                      </m:sup>
                    </m:sSubSup>
                  </m:e>
                </m:nary>
                <m:r>
                  <w:rPr>
                    <w:rFonts w:ascii="Cambria Math" w:hAnsi="Cambria Math" w:cs="Arial"/>
                    <w:szCs w:val="18"/>
                  </w:rPr>
                  <m:t>=</m:t>
                </m:r>
                <m:sSup>
                  <m:sSupPr>
                    <m:ctrlPr>
                      <w:rPr>
                        <w:rFonts w:ascii="Cambria Math" w:hAnsi="Cambria Math" w:cs="Arial"/>
                        <w:i/>
                        <w:szCs w:val="18"/>
                      </w:rPr>
                    </m:ctrlPr>
                  </m:sSupPr>
                  <m:e>
                    <m:r>
                      <w:rPr>
                        <w:rFonts w:ascii="Cambria Math" w:hAnsi="Cambria Math" w:cs="Arial"/>
                        <w:szCs w:val="18"/>
                      </w:rPr>
                      <m:t>H</m:t>
                    </m:r>
                  </m:e>
                  <m:sup>
                    <m:r>
                      <w:rPr>
                        <w:rFonts w:ascii="Cambria Math" w:hAnsi="Cambria Math" w:cs="Arial"/>
                        <w:szCs w:val="18"/>
                      </w:rPr>
                      <m:t>0</m:t>
                    </m:r>
                  </m:sup>
                </m:sSup>
                <m:r>
                  <w:rPr>
                    <w:rFonts w:ascii="Cambria Math" w:hAnsi="Cambria Math" w:cs="Arial"/>
                    <w:szCs w:val="18"/>
                  </w:rPr>
                  <m:t xml:space="preserve">      ,             T≥0</m:t>
                </m:r>
              </m:oMath>
            </m:oMathPara>
          </w:p>
        </w:tc>
        <w:tc>
          <w:tcPr>
            <w:tcW w:w="1406" w:type="dxa"/>
            <w:vAlign w:val="center"/>
          </w:tcPr>
          <w:p w:rsidR="00F67197" w:rsidRPr="00A55CB5" w:rsidRDefault="00F67197" w:rsidP="00115174">
            <w:pPr>
              <w:pStyle w:val="CETBodytext"/>
              <w:spacing w:line="240" w:lineRule="auto"/>
              <w:jc w:val="right"/>
              <w:rPr>
                <w:rFonts w:cs="Arial"/>
                <w:szCs w:val="18"/>
              </w:rPr>
            </w:pPr>
            <w:r w:rsidRPr="00A55CB5">
              <w:rPr>
                <w:rFonts w:cs="Arial"/>
                <w:szCs w:val="18"/>
              </w:rPr>
              <w:t>(</w:t>
            </w:r>
            <w:r w:rsidR="00BB7840" w:rsidRPr="00A55CB5">
              <w:rPr>
                <w:rFonts w:cs="Arial"/>
                <w:szCs w:val="18"/>
              </w:rPr>
              <w:t>5</w:t>
            </w:r>
            <w:r w:rsidRPr="00A55CB5">
              <w:rPr>
                <w:rFonts w:cs="Arial"/>
                <w:szCs w:val="18"/>
              </w:rPr>
              <w:t>)</w:t>
            </w:r>
          </w:p>
        </w:tc>
      </w:tr>
    </w:tbl>
    <w:p w:rsidR="00E563D8" w:rsidRPr="00A55CB5" w:rsidRDefault="00E563D8" w:rsidP="009B0FDB">
      <w:pPr>
        <w:pStyle w:val="CETBodytext"/>
        <w:spacing w:before="40" w:after="40"/>
      </w:pPr>
      <w:r w:rsidRPr="00A55CB5">
        <w:t xml:space="preserve">Non-ideality in </w:t>
      </w:r>
      <w:r w:rsidR="00F67197" w:rsidRPr="00A55CB5">
        <w:t>both thermodynamic models</w:t>
      </w:r>
      <w:r w:rsidRPr="00A55CB5">
        <w:t xml:space="preserve"> </w:t>
      </w:r>
      <w:r w:rsidR="001B29D9" w:rsidRPr="00A55CB5">
        <w:t>is</w:t>
      </w:r>
      <w:r w:rsidR="00F67197" w:rsidRPr="00A55CB5">
        <w:t xml:space="preserve"> </w:t>
      </w:r>
      <w:r w:rsidRPr="00A55CB5">
        <w:t>accounted for by the fugacity coefficient, which is calculated using truncated virial equation of state, considering the second virial coefficient. The expression for the second virial coefficient is based on the correlation proposed by Pitzer (Pitzer et al., 1955), modified by Tsonopoulos (1974), as shown in Equation</w:t>
      </w:r>
      <w:r w:rsidR="00BB7840" w:rsidRPr="00A55CB5">
        <w:t xml:space="preserve"> 6</w:t>
      </w:r>
      <w:r w:rsidRPr="00A55CB5">
        <w:t>. This combination of thermodynamic formulations and equations of state has been successfully applied to reforming systems, as demonstrated in the work of Freitas and Guirardello (2014) and in</w:t>
      </w:r>
      <w:r w:rsidR="001F7121" w:rsidRPr="00A55CB5">
        <w:t xml:space="preserve"> Maia et al. (2024)</w:t>
      </w:r>
      <w:r w:rsidRPr="00A55CB5">
        <w:t>.</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88"/>
        <w:gridCol w:w="4389"/>
      </w:tblGrid>
      <w:tr w:rsidR="00E563D8" w:rsidRPr="00A55CB5" w:rsidTr="00115174">
        <w:tc>
          <w:tcPr>
            <w:tcW w:w="4388" w:type="dxa"/>
          </w:tcPr>
          <w:p w:rsidR="00E563D8" w:rsidRPr="00A55CB5" w:rsidRDefault="00EC2E2E" w:rsidP="00115174">
            <w:pPr>
              <w:pStyle w:val="CETBodytext"/>
              <w:spacing w:line="240" w:lineRule="auto"/>
              <w:rPr>
                <w:rFonts w:cs="Arial"/>
                <w:szCs w:val="18"/>
              </w:rPr>
            </w:pPr>
            <m:oMathPara>
              <m:oMathParaPr>
                <m:jc m:val="left"/>
              </m:oMathParaPr>
              <m:oMath>
                <m:func>
                  <m:funcPr>
                    <m:ctrlPr>
                      <w:rPr>
                        <w:rFonts w:ascii="Cambria Math" w:hAnsi="Cambria Math" w:cs="Arial"/>
                        <w:i/>
                        <w:szCs w:val="18"/>
                      </w:rPr>
                    </m:ctrlPr>
                  </m:funcPr>
                  <m:fName>
                    <m:r>
                      <m:rPr>
                        <m:sty m:val="p"/>
                      </m:rPr>
                      <w:rPr>
                        <w:rFonts w:ascii="Cambria Math" w:hAnsi="Cambria Math" w:cs="Arial"/>
                        <w:szCs w:val="18"/>
                      </w:rPr>
                      <m:t>ln</m:t>
                    </m:r>
                  </m:fName>
                  <m:e>
                    <m:sSub>
                      <m:sSubPr>
                        <m:ctrlPr>
                          <w:rPr>
                            <w:rFonts w:ascii="Cambria Math" w:hAnsi="Cambria Math" w:cs="Arial"/>
                            <w:i/>
                            <w:szCs w:val="18"/>
                          </w:rPr>
                        </m:ctrlPr>
                      </m:sSubPr>
                      <m:e>
                        <m:acc>
                          <m:accPr>
                            <m:ctrlPr>
                              <w:rPr>
                                <w:rFonts w:ascii="Cambria Math" w:hAnsi="Cambria Math" w:cs="Arial"/>
                                <w:i/>
                                <w:szCs w:val="18"/>
                              </w:rPr>
                            </m:ctrlPr>
                          </m:accPr>
                          <m:e>
                            <m:r>
                              <w:rPr>
                                <w:rFonts w:ascii="Cambria Math" w:hAnsi="Cambria Math" w:cs="Arial"/>
                                <w:szCs w:val="18"/>
                              </w:rPr>
                              <m:t>ϕ</m:t>
                            </m:r>
                          </m:e>
                        </m:acc>
                      </m:e>
                      <m:sub>
                        <m:r>
                          <w:rPr>
                            <w:rFonts w:ascii="Cambria Math" w:hAnsi="Cambria Math" w:cs="Arial"/>
                            <w:szCs w:val="18"/>
                          </w:rPr>
                          <m:t>i</m:t>
                        </m:r>
                      </m:sub>
                    </m:sSub>
                  </m:e>
                </m:func>
                <m:r>
                  <w:rPr>
                    <w:rFonts w:ascii="Cambria Math" w:hAnsi="Cambria Math" w:cs="Arial"/>
                    <w:szCs w:val="18"/>
                  </w:rPr>
                  <m:t>=</m:t>
                </m:r>
                <m:d>
                  <m:dPr>
                    <m:begChr m:val="["/>
                    <m:endChr m:val="]"/>
                    <m:ctrlPr>
                      <w:rPr>
                        <w:rFonts w:ascii="Cambria Math" w:hAnsi="Cambria Math" w:cs="Arial"/>
                        <w:i/>
                        <w:szCs w:val="18"/>
                      </w:rPr>
                    </m:ctrlPr>
                  </m:dPr>
                  <m:e>
                    <m:r>
                      <w:rPr>
                        <w:rFonts w:ascii="Cambria Math" w:hAnsi="Cambria Math" w:cs="Arial"/>
                        <w:szCs w:val="18"/>
                      </w:rPr>
                      <m:t>2</m:t>
                    </m:r>
                    <m:nary>
                      <m:naryPr>
                        <m:chr m:val="∑"/>
                        <m:limLoc m:val="undOvr"/>
                        <m:ctrlPr>
                          <w:rPr>
                            <w:rFonts w:ascii="Cambria Math" w:hAnsi="Cambria Math" w:cs="Arial"/>
                            <w:i/>
                            <w:szCs w:val="18"/>
                          </w:rPr>
                        </m:ctrlPr>
                      </m:naryPr>
                      <m:sub>
                        <m:r>
                          <w:rPr>
                            <w:rFonts w:ascii="Cambria Math" w:hAnsi="Cambria Math" w:cs="Arial"/>
                            <w:szCs w:val="18"/>
                          </w:rPr>
                          <m:t>j</m:t>
                        </m:r>
                      </m:sub>
                      <m:sup>
                        <m:r>
                          <w:rPr>
                            <w:rFonts w:ascii="Cambria Math" w:hAnsi="Cambria Math" w:cs="Arial"/>
                            <w:szCs w:val="18"/>
                          </w:rPr>
                          <m:t>m</m:t>
                        </m:r>
                      </m:sup>
                      <m:e>
                        <m:sSub>
                          <m:sSubPr>
                            <m:ctrlPr>
                              <w:rPr>
                                <w:rFonts w:ascii="Cambria Math" w:hAnsi="Cambria Math" w:cs="Arial"/>
                                <w:i/>
                                <w:szCs w:val="18"/>
                              </w:rPr>
                            </m:ctrlPr>
                          </m:sSubPr>
                          <m:e>
                            <m:r>
                              <w:rPr>
                                <w:rFonts w:ascii="Cambria Math" w:hAnsi="Cambria Math" w:cs="Arial"/>
                                <w:szCs w:val="18"/>
                              </w:rPr>
                              <m:t>y</m:t>
                            </m:r>
                          </m:e>
                          <m:sub>
                            <m:r>
                              <w:rPr>
                                <w:rFonts w:ascii="Cambria Math" w:hAnsi="Cambria Math" w:cs="Arial"/>
                                <w:szCs w:val="18"/>
                              </w:rPr>
                              <m:t>j</m:t>
                            </m:r>
                          </m:sub>
                        </m:sSub>
                        <m:sSub>
                          <m:sSubPr>
                            <m:ctrlPr>
                              <w:rPr>
                                <w:rFonts w:ascii="Cambria Math" w:hAnsi="Cambria Math" w:cs="Arial"/>
                                <w:i/>
                                <w:szCs w:val="18"/>
                              </w:rPr>
                            </m:ctrlPr>
                          </m:sSubPr>
                          <m:e>
                            <m:r>
                              <w:rPr>
                                <w:rFonts w:ascii="Cambria Math" w:hAnsi="Cambria Math" w:cs="Arial"/>
                                <w:szCs w:val="18"/>
                              </w:rPr>
                              <m:t>B</m:t>
                            </m:r>
                          </m:e>
                          <m:sub>
                            <m:r>
                              <w:rPr>
                                <w:rFonts w:ascii="Cambria Math" w:hAnsi="Cambria Math" w:cs="Arial"/>
                                <w:szCs w:val="18"/>
                              </w:rPr>
                              <m:t>ij</m:t>
                            </m:r>
                          </m:sub>
                        </m:sSub>
                        <m:r>
                          <w:rPr>
                            <w:rFonts w:ascii="Cambria Math" w:hAnsi="Cambria Math" w:cs="Arial"/>
                            <w:szCs w:val="18"/>
                          </w:rPr>
                          <m:t>-B</m:t>
                        </m:r>
                      </m:e>
                    </m:nary>
                  </m:e>
                </m:d>
                <m:r>
                  <w:rPr>
                    <w:rFonts w:ascii="Cambria Math" w:hAnsi="Cambria Math" w:cs="Arial"/>
                    <w:szCs w:val="18"/>
                  </w:rPr>
                  <m:t>∙</m:t>
                </m:r>
                <m:f>
                  <m:fPr>
                    <m:ctrlPr>
                      <w:rPr>
                        <w:rFonts w:ascii="Cambria Math" w:hAnsi="Cambria Math" w:cs="Arial"/>
                        <w:i/>
                        <w:szCs w:val="18"/>
                      </w:rPr>
                    </m:ctrlPr>
                  </m:fPr>
                  <m:num>
                    <m:r>
                      <w:rPr>
                        <w:rFonts w:ascii="Cambria Math" w:hAnsi="Cambria Math" w:cs="Arial"/>
                        <w:szCs w:val="18"/>
                      </w:rPr>
                      <m:t>P</m:t>
                    </m:r>
                  </m:num>
                  <m:den>
                    <m:r>
                      <w:rPr>
                        <w:rFonts w:ascii="Cambria Math" w:hAnsi="Cambria Math" w:cs="Arial"/>
                        <w:szCs w:val="18"/>
                      </w:rPr>
                      <m:t>RT</m:t>
                    </m:r>
                  </m:den>
                </m:f>
              </m:oMath>
            </m:oMathPara>
          </w:p>
        </w:tc>
        <w:tc>
          <w:tcPr>
            <w:tcW w:w="4389" w:type="dxa"/>
            <w:vAlign w:val="center"/>
          </w:tcPr>
          <w:p w:rsidR="00E563D8" w:rsidRPr="00A55CB5" w:rsidRDefault="00E563D8" w:rsidP="00115174">
            <w:pPr>
              <w:pStyle w:val="CETBodytext"/>
              <w:spacing w:line="240" w:lineRule="auto"/>
              <w:jc w:val="right"/>
              <w:rPr>
                <w:rFonts w:cs="Arial"/>
                <w:szCs w:val="18"/>
              </w:rPr>
            </w:pPr>
            <w:r w:rsidRPr="00A55CB5">
              <w:rPr>
                <w:rFonts w:cs="Arial"/>
                <w:szCs w:val="18"/>
              </w:rPr>
              <w:t>(</w:t>
            </w:r>
            <w:r w:rsidR="00BB7840" w:rsidRPr="00A55CB5">
              <w:rPr>
                <w:rFonts w:cs="Arial"/>
                <w:szCs w:val="18"/>
              </w:rPr>
              <w:t>6</w:t>
            </w:r>
            <w:r w:rsidRPr="00A55CB5">
              <w:rPr>
                <w:rFonts w:cs="Arial"/>
                <w:szCs w:val="18"/>
              </w:rPr>
              <w:t>)</w:t>
            </w:r>
          </w:p>
        </w:tc>
      </w:tr>
    </w:tbl>
    <w:p w:rsidR="00E563D8" w:rsidRPr="00A55CB5" w:rsidRDefault="007B5CAA" w:rsidP="007E4D5B">
      <w:pPr>
        <w:pStyle w:val="CETBodytext"/>
        <w:spacing w:before="40"/>
        <w:rPr>
          <w:rFonts w:cs="Arial"/>
        </w:rPr>
      </w:pPr>
      <w:r>
        <w:rPr>
          <w:rFonts w:cs="Arial"/>
        </w:rPr>
        <w:t>w</w:t>
      </w:r>
      <w:r w:rsidRPr="007B5CAA">
        <w:rPr>
          <w:rFonts w:cs="Arial"/>
        </w:rPr>
        <w:t xml:space="preserve">here </w:t>
      </w:r>
      <m:oMath>
        <m:r>
          <w:rPr>
            <w:rFonts w:ascii="Cambria Math" w:hAnsi="Cambria Math" w:cs="Arial"/>
          </w:rPr>
          <m:t>B</m:t>
        </m:r>
      </m:oMath>
      <w:r w:rsidR="0063264E">
        <w:rPr>
          <w:rFonts w:cs="Arial"/>
        </w:rPr>
        <w:t xml:space="preserve"> is the </w:t>
      </w:r>
      <w:r w:rsidR="0022749C">
        <w:rPr>
          <w:rFonts w:cs="Arial"/>
        </w:rPr>
        <w:t xml:space="preserve">mixture </w:t>
      </w:r>
      <w:r w:rsidR="0063264E">
        <w:rPr>
          <w:rFonts w:cs="Arial"/>
        </w:rPr>
        <w:t>s</w:t>
      </w:r>
      <w:r w:rsidRPr="007B5CAA">
        <w:rPr>
          <w:rFonts w:cs="Arial"/>
        </w:rPr>
        <w:t xml:space="preserve">econd virial coefficient and </w:t>
      </w:r>
      <m:oMath>
        <m:sSub>
          <m:sSubPr>
            <m:ctrlPr>
              <w:rPr>
                <w:rFonts w:ascii="Cambria Math" w:hAnsi="Cambria Math" w:cs="Arial"/>
                <w:i/>
              </w:rPr>
            </m:ctrlPr>
          </m:sSubPr>
          <m:e>
            <m:r>
              <w:rPr>
                <w:rFonts w:ascii="Cambria Math" w:hAnsi="Cambria Math" w:cs="Arial"/>
              </w:rPr>
              <m:t>B</m:t>
            </m:r>
          </m:e>
          <m:sub>
            <m:r>
              <w:rPr>
                <w:rFonts w:ascii="Cambria Math" w:hAnsi="Cambria Math" w:cs="Arial"/>
              </w:rPr>
              <m:t>ij</m:t>
            </m:r>
          </m:sub>
        </m:sSub>
      </m:oMath>
      <w:r w:rsidR="0063264E">
        <w:rPr>
          <w:rFonts w:cs="Arial"/>
        </w:rPr>
        <w:t xml:space="preserve"> is the s</w:t>
      </w:r>
      <w:r w:rsidRPr="007B5CAA">
        <w:rPr>
          <w:rFonts w:cs="Arial"/>
        </w:rPr>
        <w:t>econd virial coefficient for the</w:t>
      </w:r>
      <w:r w:rsidR="0063264E">
        <w:rPr>
          <w:rFonts w:cs="Arial"/>
        </w:rPr>
        <w:t xml:space="preserve"> </w:t>
      </w:r>
      <m:oMath>
        <m:r>
          <w:rPr>
            <w:rFonts w:ascii="Cambria Math" w:hAnsi="Cambria Math" w:cs="Arial"/>
          </w:rPr>
          <m:t>ij</m:t>
        </m:r>
      </m:oMath>
      <w:r w:rsidR="0063264E">
        <w:rPr>
          <w:rFonts w:cs="Arial"/>
        </w:rPr>
        <w:t xml:space="preserve"> pair</w:t>
      </w:r>
      <w:r w:rsidR="00E563D8" w:rsidRPr="00A55CB5">
        <w:rPr>
          <w:rFonts w:cs="Arial"/>
        </w:rPr>
        <w:t>.</w:t>
      </w:r>
      <w:r w:rsidR="008725D3" w:rsidRPr="00A55CB5">
        <w:rPr>
          <w:rFonts w:cs="Arial"/>
        </w:rPr>
        <w:t xml:space="preserve"> The </w:t>
      </w:r>
      <w:r w:rsidR="008725D3" w:rsidRPr="009E1DB9">
        <w:rPr>
          <w:rFonts w:cs="Arial"/>
          <w:i/>
        </w:rPr>
        <w:t>maxS</w:t>
      </w:r>
      <w:r w:rsidR="008725D3" w:rsidRPr="00A55CB5">
        <w:rPr>
          <w:rFonts w:cs="Arial"/>
        </w:rPr>
        <w:t xml:space="preserve"> model, on the other hand, incorporates temperature variation in its thermodynamic formulation, effectively representing an adiabatic process. This model provides a more accurate behavior of the studied systems.</w:t>
      </w:r>
    </w:p>
    <w:p w:rsidR="001B29D9" w:rsidRPr="00A55CB5" w:rsidRDefault="001B29D9" w:rsidP="001B29D9">
      <w:pPr>
        <w:pStyle w:val="CETheadingx"/>
        <w:rPr>
          <w:rFonts w:cs="Arial"/>
        </w:rPr>
      </w:pPr>
      <w:r w:rsidRPr="00A55CB5">
        <w:rPr>
          <w:rFonts w:cs="Arial"/>
        </w:rPr>
        <w:lastRenderedPageBreak/>
        <w:t>Thermodynamic analysis – computational strategy</w:t>
      </w:r>
    </w:p>
    <w:p w:rsidR="00B67538" w:rsidRPr="00A55CB5" w:rsidRDefault="00B67538" w:rsidP="00B67538">
      <w:pPr>
        <w:pStyle w:val="CETBodytext"/>
      </w:pPr>
      <w:r w:rsidRPr="00A55CB5">
        <w:t>The models used in this study perform simultaneous chemical and phase equilibrium calculations, formulated as nonlinear programming problems. For the simulations, the General Algebraic Modeling System (GAMS)</w:t>
      </w:r>
      <w:r w:rsidRPr="00A55CB5">
        <w:rPr>
          <w:vertAlign w:val="superscript"/>
        </w:rPr>
        <w:t>®</w:t>
      </w:r>
      <w:r w:rsidRPr="00A55CB5">
        <w:t xml:space="preserve"> 23.9.5 software was employed, with the CONOPT3 solver. This solver utilizes the generalized reduced gradient (GRG) method, a robust algorithm for solving nonlinear programming problems, such as the </w:t>
      </w:r>
      <w:r w:rsidRPr="00A55CB5">
        <w:rPr>
          <w:i/>
          <w:iCs/>
        </w:rPr>
        <w:t xml:space="preserve">minG </w:t>
      </w:r>
      <w:r w:rsidRPr="00A55CB5">
        <w:t xml:space="preserve">and </w:t>
      </w:r>
      <w:r w:rsidRPr="00A55CB5">
        <w:rPr>
          <w:i/>
          <w:iCs/>
        </w:rPr>
        <w:t>maxS</w:t>
      </w:r>
      <w:r w:rsidRPr="00A55CB5">
        <w:t xml:space="preserve"> thermodynamic models used in this work. Additionally, the free software </w:t>
      </w:r>
      <w:r w:rsidRPr="00A55CB5">
        <w:rPr>
          <w:i/>
          <w:iCs/>
        </w:rPr>
        <w:t>TeS</w:t>
      </w:r>
      <w:r w:rsidRPr="00A55CB5">
        <w:t xml:space="preserve"> (Thermodynamic Equilibrium Simulation) was used for the thermodynamic characterization of açaí seed reforming processes.</w:t>
      </w:r>
    </w:p>
    <w:p w:rsidR="0077187D" w:rsidRPr="00A55CB5" w:rsidRDefault="00B67538" w:rsidP="00B67538">
      <w:pPr>
        <w:pStyle w:val="CETBodytext"/>
      </w:pPr>
      <w:r w:rsidRPr="00A55CB5">
        <w:t>This combination of software and solver has been successfully applied in previous studies, delivering excellent results, particularly in comparison with experimental data (Gomes et al., 2022). In the simulations, açaí seeds were represented as a pseudocomponent, with their chemical composition determined through elemental analysis of seeds sourced from pulp production residue at a public market in São Luís-MA, Brazil. The resulting chemical formula was C</w:t>
      </w:r>
      <w:r w:rsidRPr="00A55CB5">
        <w:rPr>
          <w:vertAlign w:val="subscript"/>
        </w:rPr>
        <w:t>3.90</w:t>
      </w:r>
      <w:r w:rsidRPr="00A55CB5">
        <w:t>H</w:t>
      </w:r>
      <w:r w:rsidRPr="00A55CB5">
        <w:rPr>
          <w:vertAlign w:val="subscript"/>
        </w:rPr>
        <w:t>5.87</w:t>
      </w:r>
      <w:r w:rsidRPr="00A55CB5">
        <w:t>O</w:t>
      </w:r>
      <w:r w:rsidRPr="00A55CB5">
        <w:rPr>
          <w:vertAlign w:val="subscript"/>
        </w:rPr>
        <w:t>2.74</w:t>
      </w:r>
      <w:r w:rsidRPr="00A55CB5">
        <w:t>N</w:t>
      </w:r>
      <w:r w:rsidRPr="00A55CB5">
        <w:rPr>
          <w:vertAlign w:val="subscript"/>
        </w:rPr>
        <w:t>0.06</w:t>
      </w:r>
      <w:r w:rsidRPr="00A55CB5">
        <w:t>. A total of 13 compounds were considered in the simulations, including hydrogen (H</w:t>
      </w:r>
      <w:r w:rsidRPr="00A55CB5">
        <w:rPr>
          <w:rFonts w:ascii="Cambria Math" w:hAnsi="Cambria Math" w:cs="Cambria Math"/>
        </w:rPr>
        <w:t>₂</w:t>
      </w:r>
      <w:r w:rsidRPr="00A55CB5">
        <w:t>), methane (CH</w:t>
      </w:r>
      <w:r w:rsidRPr="00A55CB5">
        <w:rPr>
          <w:rFonts w:ascii="Cambria Math" w:hAnsi="Cambria Math" w:cs="Cambria Math"/>
        </w:rPr>
        <w:t>₄</w:t>
      </w:r>
      <w:r w:rsidRPr="00A55CB5">
        <w:t>), water (H</w:t>
      </w:r>
      <w:r w:rsidRPr="00A55CB5">
        <w:rPr>
          <w:rFonts w:ascii="Cambria Math" w:hAnsi="Cambria Math" w:cs="Cambria Math"/>
        </w:rPr>
        <w:t>₂</w:t>
      </w:r>
      <w:r w:rsidRPr="00A55CB5">
        <w:t>O), carbon monoxide (CO), carbon dioxide (CO</w:t>
      </w:r>
      <w:r w:rsidRPr="00A55CB5">
        <w:rPr>
          <w:rFonts w:ascii="Cambria Math" w:hAnsi="Cambria Math" w:cs="Cambria Math"/>
        </w:rPr>
        <w:t>₂</w:t>
      </w:r>
      <w:r w:rsidRPr="00A55CB5">
        <w:t>), oxygen (O</w:t>
      </w:r>
      <w:r w:rsidRPr="00A55CB5">
        <w:rPr>
          <w:rFonts w:ascii="Cambria Math" w:hAnsi="Cambria Math" w:cs="Cambria Math"/>
        </w:rPr>
        <w:t>₂</w:t>
      </w:r>
      <w:r w:rsidRPr="00A55CB5">
        <w:t>), nitrogen (N</w:t>
      </w:r>
      <w:r w:rsidRPr="00A55CB5">
        <w:rPr>
          <w:rFonts w:ascii="Cambria Math" w:hAnsi="Cambria Math" w:cs="Cambria Math"/>
        </w:rPr>
        <w:t>₂</w:t>
      </w:r>
      <w:r w:rsidRPr="00A55CB5">
        <w:t>), ammonia (NH</w:t>
      </w:r>
      <w:r w:rsidRPr="00A55CB5">
        <w:rPr>
          <w:rFonts w:ascii="Cambria Math" w:hAnsi="Cambria Math" w:cs="Cambria Math"/>
        </w:rPr>
        <w:t>₃</w:t>
      </w:r>
      <w:r w:rsidRPr="00A55CB5">
        <w:t>), nitric oxide (NO), nitrogen dioxide (NO</w:t>
      </w:r>
      <w:r w:rsidRPr="00A55CB5">
        <w:rPr>
          <w:rFonts w:ascii="Cambria Math" w:hAnsi="Cambria Math" w:cs="Cambria Math"/>
        </w:rPr>
        <w:t>₂</w:t>
      </w:r>
      <w:r w:rsidRPr="00A55CB5">
        <w:t>), methanol (CH</w:t>
      </w:r>
      <w:r w:rsidRPr="00A55CB5">
        <w:rPr>
          <w:rFonts w:ascii="Cambria Math" w:hAnsi="Cambria Math" w:cs="Cambria Math"/>
        </w:rPr>
        <w:t>₃</w:t>
      </w:r>
      <w:r w:rsidRPr="00A55CB5">
        <w:t>OH), ethane (C</w:t>
      </w:r>
      <w:r w:rsidRPr="00A55CB5">
        <w:rPr>
          <w:rFonts w:ascii="Cambria Math" w:hAnsi="Cambria Math" w:cs="Cambria Math"/>
        </w:rPr>
        <w:t>₂</w:t>
      </w:r>
      <w:r w:rsidRPr="00A55CB5">
        <w:t>H</w:t>
      </w:r>
      <w:r w:rsidRPr="00A55CB5">
        <w:rPr>
          <w:rFonts w:ascii="Cambria Math" w:hAnsi="Cambria Math" w:cs="Cambria Math"/>
        </w:rPr>
        <w:t>₆</w:t>
      </w:r>
      <w:r w:rsidRPr="00A55CB5">
        <w:t>), and ethylene (C</w:t>
      </w:r>
      <w:r w:rsidRPr="00A55CB5">
        <w:rPr>
          <w:rFonts w:ascii="Cambria Math" w:hAnsi="Cambria Math" w:cs="Cambria Math"/>
        </w:rPr>
        <w:t>₂</w:t>
      </w:r>
      <w:r w:rsidRPr="00A55CB5">
        <w:t>H</w:t>
      </w:r>
      <w:r w:rsidRPr="00A55CB5">
        <w:rPr>
          <w:rFonts w:ascii="Cambria Math" w:hAnsi="Cambria Math" w:cs="Cambria Math"/>
        </w:rPr>
        <w:t>₄</w:t>
      </w:r>
      <w:r w:rsidRPr="00A55CB5">
        <w:t>). All thermodynamic properties for these compounds were sourced from the literature (Polling et al., 2001).</w:t>
      </w:r>
      <w:r w:rsidR="0077187D" w:rsidRPr="00A55CB5">
        <w:t xml:space="preserve"> </w:t>
      </w:r>
    </w:p>
    <w:p w:rsidR="00B67538" w:rsidRPr="00A55CB5" w:rsidRDefault="00B67538" w:rsidP="00B67538">
      <w:pPr>
        <w:pStyle w:val="CETBodytext"/>
      </w:pPr>
      <w:r w:rsidRPr="00A55CB5">
        <w:t>ATR, PR, SR, and SCWG reactions were thermodynamically characterized for temperature ranges between 730 and 1130 K, and pressures between 1 and 20 bar for SR, PR, and ATR reactions, and between 2</w:t>
      </w:r>
      <w:r w:rsidR="00300F05" w:rsidRPr="00A55CB5">
        <w:t>2</w:t>
      </w:r>
      <w:r w:rsidRPr="00A55CB5">
        <w:t>0 and 260 bar for SCWG. The feed composition varied from 5 to 2</w:t>
      </w:r>
      <w:r w:rsidR="00420595" w:rsidRPr="00A55CB5">
        <w:t>3</w:t>
      </w:r>
      <w:r w:rsidRPr="00A55CB5">
        <w:t xml:space="preserve"> wt%</w:t>
      </w:r>
      <w:r w:rsidR="008D6FE8" w:rsidRPr="00A55CB5">
        <w:t xml:space="preserve"> for biomass,</w:t>
      </w:r>
      <w:r w:rsidRPr="00A55CB5">
        <w:t xml:space="preserve"> oxidizing agents: O</w:t>
      </w:r>
      <w:r w:rsidRPr="00A55CB5">
        <w:rPr>
          <w:rFonts w:ascii="Cambria Math" w:hAnsi="Cambria Math" w:cs="Cambria Math"/>
        </w:rPr>
        <w:t>₂</w:t>
      </w:r>
      <w:r w:rsidRPr="00A55CB5">
        <w:t xml:space="preserve"> and H</w:t>
      </w:r>
      <w:r w:rsidRPr="00A55CB5">
        <w:rPr>
          <w:rFonts w:ascii="Cambria Math" w:hAnsi="Cambria Math" w:cs="Cambria Math"/>
        </w:rPr>
        <w:t>₂</w:t>
      </w:r>
      <w:r w:rsidRPr="00A55CB5">
        <w:t>O (in equimolar amounts) for ATR, pure H</w:t>
      </w:r>
      <w:r w:rsidRPr="00A55CB5">
        <w:rPr>
          <w:rFonts w:ascii="Cambria Math" w:hAnsi="Cambria Math" w:cs="Cambria Math"/>
        </w:rPr>
        <w:t>₂</w:t>
      </w:r>
      <w:r w:rsidRPr="00A55CB5">
        <w:t>O for SCWG, and no oxidant for PR</w:t>
      </w:r>
      <w:r w:rsidR="0077187D" w:rsidRPr="00A55CB5">
        <w:t xml:space="preserve">. </w:t>
      </w:r>
      <w:r w:rsidRPr="00A55CB5">
        <w:t xml:space="preserve">The four reaction routes (PR, SR, ATR, and SCWG) were first thermodynamically evaluated in GAMS to identify those that showed the highest hydrogen gas productivity. Subsequently, the two reaction paths with the highest gas production were further detailed in </w:t>
      </w:r>
      <w:r w:rsidRPr="00A55CB5">
        <w:rPr>
          <w:i/>
          <w:iCs/>
        </w:rPr>
        <w:t>TeS</w:t>
      </w:r>
      <w:r w:rsidRPr="00A55CB5">
        <w:t xml:space="preserve"> software, with over 2,000 simulations carried out for each reaction. These simulations aimed to determine the characteristic effects of each reaction and to explore the combined effects of the operational variables within each thermochemical route.</w:t>
      </w:r>
    </w:p>
    <w:p w:rsidR="00600535" w:rsidRPr="00A55CB5" w:rsidRDefault="00B9278D" w:rsidP="00600535">
      <w:pPr>
        <w:pStyle w:val="CETHeading1"/>
        <w:tabs>
          <w:tab w:val="clear" w:pos="360"/>
          <w:tab w:val="right" w:pos="7100"/>
        </w:tabs>
        <w:jc w:val="both"/>
        <w:rPr>
          <w:rFonts w:cs="Arial"/>
        </w:rPr>
      </w:pPr>
      <w:r w:rsidRPr="00A55CB5">
        <w:rPr>
          <w:rFonts w:cs="Arial"/>
        </w:rPr>
        <w:t>Results and discussion</w:t>
      </w:r>
    </w:p>
    <w:p w:rsidR="00D03BC2" w:rsidRPr="00A55CB5" w:rsidRDefault="00D03BC2" w:rsidP="00FD21E4">
      <w:pPr>
        <w:pStyle w:val="PargrafodaLista"/>
        <w:spacing w:after="240"/>
        <w:ind w:left="0"/>
        <w:contextualSpacing w:val="0"/>
        <w:rPr>
          <w:b/>
          <w:lang w:val="en-US"/>
        </w:rPr>
      </w:pPr>
      <w:r w:rsidRPr="00A55CB5">
        <w:rPr>
          <w:bCs/>
          <w:lang w:val="en-US"/>
        </w:rPr>
        <w:t>The results obtained for the maximum H</w:t>
      </w:r>
      <w:r w:rsidRPr="00A55CB5">
        <w:rPr>
          <w:bCs/>
          <w:vertAlign w:val="subscript"/>
          <w:lang w:val="en-US"/>
        </w:rPr>
        <w:t>2</w:t>
      </w:r>
      <w:r w:rsidRPr="00A55CB5">
        <w:rPr>
          <w:bCs/>
          <w:lang w:val="en-US"/>
        </w:rPr>
        <w:t xml:space="preserve"> and CH</w:t>
      </w:r>
      <w:r w:rsidRPr="00A55CB5">
        <w:rPr>
          <w:bCs/>
          <w:vertAlign w:val="subscript"/>
          <w:lang w:val="en-US"/>
        </w:rPr>
        <w:t>4</w:t>
      </w:r>
      <w:r w:rsidRPr="00A55CB5">
        <w:rPr>
          <w:bCs/>
          <w:lang w:val="en-US"/>
        </w:rPr>
        <w:t xml:space="preserve"> production (determined from </w:t>
      </w:r>
      <w:r w:rsidRPr="00A55CB5">
        <w:rPr>
          <w:bCs/>
          <w:i/>
          <w:iCs/>
          <w:lang w:val="en-US"/>
        </w:rPr>
        <w:t>minG</w:t>
      </w:r>
      <w:r w:rsidRPr="00A55CB5">
        <w:rPr>
          <w:bCs/>
          <w:lang w:val="en-US"/>
        </w:rPr>
        <w:t xml:space="preserve"> or </w:t>
      </w:r>
      <w:r w:rsidRPr="00A55CB5">
        <w:rPr>
          <w:bCs/>
          <w:i/>
          <w:iCs/>
          <w:lang w:val="en-US"/>
        </w:rPr>
        <w:t>maxS</w:t>
      </w:r>
      <w:r w:rsidRPr="00A55CB5">
        <w:rPr>
          <w:bCs/>
          <w:lang w:val="en-US"/>
        </w:rPr>
        <w:t xml:space="preserve"> simulations) and the equilibrium temperature (starting from an initial temperature of 900 K)</w:t>
      </w:r>
      <w:r w:rsidR="00334F53" w:rsidRPr="00A55CB5">
        <w:rPr>
          <w:bCs/>
          <w:lang w:val="en-US"/>
        </w:rPr>
        <w:t xml:space="preserve"> using GAMS software</w:t>
      </w:r>
      <w:r w:rsidRPr="00A55CB5">
        <w:rPr>
          <w:bCs/>
          <w:lang w:val="en-US"/>
        </w:rPr>
        <w:t xml:space="preserve"> are presented in Table 1.</w:t>
      </w:r>
    </w:p>
    <w:p w:rsidR="00D03BC2" w:rsidRPr="00A55CB5" w:rsidRDefault="00D03BC2" w:rsidP="00FD21E4">
      <w:pPr>
        <w:pStyle w:val="PargrafodaLista"/>
        <w:spacing w:before="240"/>
        <w:ind w:left="0"/>
        <w:rPr>
          <w:bCs/>
          <w:lang w:val="en-US"/>
        </w:rPr>
      </w:pPr>
      <w:r w:rsidRPr="00A55CB5">
        <w:rPr>
          <w:b/>
          <w:lang w:val="en-US"/>
        </w:rPr>
        <w:t>Table 1.</w:t>
      </w:r>
      <w:r w:rsidRPr="00A55CB5">
        <w:rPr>
          <w:bCs/>
          <w:lang w:val="en-US"/>
        </w:rPr>
        <w:t xml:space="preserve"> Maximum H</w:t>
      </w:r>
      <w:r w:rsidRPr="00A55CB5">
        <w:rPr>
          <w:bCs/>
          <w:vertAlign w:val="subscript"/>
          <w:lang w:val="en-US"/>
        </w:rPr>
        <w:t>2</w:t>
      </w:r>
      <w:r w:rsidRPr="00A55CB5">
        <w:rPr>
          <w:bCs/>
          <w:lang w:val="en-US"/>
        </w:rPr>
        <w:t xml:space="preserve"> production, maximum CH</w:t>
      </w:r>
      <w:r w:rsidRPr="00A55CB5">
        <w:rPr>
          <w:bCs/>
          <w:vertAlign w:val="subscript"/>
          <w:lang w:val="en-US"/>
        </w:rPr>
        <w:t>4</w:t>
      </w:r>
      <w:r w:rsidRPr="00A55CB5">
        <w:rPr>
          <w:bCs/>
          <w:lang w:val="en-US"/>
        </w:rPr>
        <w:t xml:space="preserve"> production and equilibrium temperature for ATR, SR, PR and SCWG of açaí seeds.</w:t>
      </w:r>
    </w:p>
    <w:tbl>
      <w:tblPr>
        <w:tblStyle w:val="Tabelacomgrade"/>
        <w:tblW w:w="8647" w:type="dxa"/>
        <w:jc w:val="center"/>
        <w:tblBorders>
          <w:left w:val="none" w:sz="0" w:space="0" w:color="auto"/>
          <w:right w:val="none" w:sz="0" w:space="0" w:color="auto"/>
          <w:insideH w:val="none" w:sz="0" w:space="0" w:color="auto"/>
          <w:insideV w:val="none" w:sz="0" w:space="0" w:color="auto"/>
        </w:tblBorders>
        <w:tblLook w:val="04A0"/>
      </w:tblPr>
      <w:tblGrid>
        <w:gridCol w:w="1555"/>
        <w:gridCol w:w="2697"/>
        <w:gridCol w:w="2693"/>
        <w:gridCol w:w="1702"/>
      </w:tblGrid>
      <w:tr w:rsidR="00D03BC2" w:rsidRPr="00A55CB5" w:rsidTr="00721E27">
        <w:trPr>
          <w:jc w:val="center"/>
        </w:trPr>
        <w:tc>
          <w:tcPr>
            <w:tcW w:w="1555" w:type="dxa"/>
            <w:tcBorders>
              <w:top w:val="single" w:sz="4" w:space="0" w:color="00B050"/>
              <w:bottom w:val="single" w:sz="4" w:space="0" w:color="00B050"/>
            </w:tcBorders>
            <w:vAlign w:val="center"/>
          </w:tcPr>
          <w:p w:rsidR="00D03BC2" w:rsidRPr="00A55CB5" w:rsidRDefault="00D03BC2" w:rsidP="00115174">
            <w:pPr>
              <w:jc w:val="center"/>
              <w:rPr>
                <w:b/>
                <w:lang w:val="en-US"/>
              </w:rPr>
            </w:pPr>
            <w:r w:rsidRPr="00A55CB5">
              <w:rPr>
                <w:b/>
                <w:lang w:val="en-US"/>
              </w:rPr>
              <w:t>Reforming type</w:t>
            </w:r>
          </w:p>
        </w:tc>
        <w:tc>
          <w:tcPr>
            <w:tcW w:w="2697" w:type="dxa"/>
            <w:tcBorders>
              <w:top w:val="single" w:sz="4" w:space="0" w:color="00B050"/>
              <w:bottom w:val="single" w:sz="4" w:space="0" w:color="00B050"/>
            </w:tcBorders>
            <w:vAlign w:val="center"/>
          </w:tcPr>
          <w:p w:rsidR="00D03BC2" w:rsidRPr="00A55CB5" w:rsidRDefault="00D03BC2" w:rsidP="00115174">
            <w:pPr>
              <w:jc w:val="center"/>
              <w:rPr>
                <w:b/>
                <w:lang w:val="en-US"/>
              </w:rPr>
            </w:pPr>
            <w:r w:rsidRPr="00A55CB5">
              <w:rPr>
                <w:b/>
                <w:lang w:val="en-US"/>
              </w:rPr>
              <w:t>Maximum H</w:t>
            </w:r>
            <w:r w:rsidRPr="00A55CB5">
              <w:rPr>
                <w:b/>
                <w:vertAlign w:val="subscript"/>
                <w:lang w:val="en-US"/>
              </w:rPr>
              <w:t>2</w:t>
            </w:r>
            <w:r w:rsidRPr="00A55CB5">
              <w:rPr>
                <w:b/>
                <w:lang w:val="en-US"/>
              </w:rPr>
              <w:t xml:space="preserve"> production (mol%)</w:t>
            </w:r>
            <w:r w:rsidRPr="00A55CB5">
              <w:rPr>
                <w:b/>
                <w:vertAlign w:val="superscript"/>
                <w:lang w:val="en-US"/>
              </w:rPr>
              <w:t>1</w:t>
            </w:r>
          </w:p>
        </w:tc>
        <w:tc>
          <w:tcPr>
            <w:tcW w:w="2693" w:type="dxa"/>
            <w:tcBorders>
              <w:top w:val="single" w:sz="4" w:space="0" w:color="00B050"/>
              <w:bottom w:val="single" w:sz="4" w:space="0" w:color="00B050"/>
            </w:tcBorders>
            <w:vAlign w:val="center"/>
          </w:tcPr>
          <w:p w:rsidR="00D03BC2" w:rsidRPr="00A55CB5" w:rsidRDefault="00D03BC2" w:rsidP="00115174">
            <w:pPr>
              <w:jc w:val="center"/>
              <w:rPr>
                <w:b/>
                <w:lang w:val="en-US"/>
              </w:rPr>
            </w:pPr>
            <w:r w:rsidRPr="00A55CB5">
              <w:rPr>
                <w:b/>
                <w:lang w:val="en-US"/>
              </w:rPr>
              <w:t>Maximum CH</w:t>
            </w:r>
            <w:r w:rsidRPr="00A55CB5">
              <w:rPr>
                <w:b/>
                <w:vertAlign w:val="subscript"/>
                <w:lang w:val="en-US"/>
              </w:rPr>
              <w:t>4</w:t>
            </w:r>
            <w:r w:rsidRPr="00A55CB5">
              <w:rPr>
                <w:b/>
                <w:lang w:val="en-US"/>
              </w:rPr>
              <w:t xml:space="preserve"> production (mol%)</w:t>
            </w:r>
            <w:r w:rsidRPr="00A55CB5">
              <w:rPr>
                <w:b/>
                <w:vertAlign w:val="superscript"/>
                <w:lang w:val="en-US"/>
              </w:rPr>
              <w:t>1</w:t>
            </w:r>
          </w:p>
        </w:tc>
        <w:tc>
          <w:tcPr>
            <w:tcW w:w="1702" w:type="dxa"/>
            <w:tcBorders>
              <w:top w:val="single" w:sz="4" w:space="0" w:color="00B050"/>
              <w:bottom w:val="single" w:sz="4" w:space="0" w:color="00B050"/>
            </w:tcBorders>
            <w:vAlign w:val="center"/>
          </w:tcPr>
          <w:p w:rsidR="00D03BC2" w:rsidRPr="00A55CB5" w:rsidRDefault="00D03BC2" w:rsidP="00115174">
            <w:pPr>
              <w:jc w:val="center"/>
              <w:rPr>
                <w:b/>
                <w:lang w:val="en-US"/>
              </w:rPr>
            </w:pPr>
            <w:r w:rsidRPr="00A55CB5">
              <w:rPr>
                <w:b/>
                <w:lang w:val="en-US"/>
              </w:rPr>
              <w:t>Equilibrium temperature</w:t>
            </w:r>
            <w:r w:rsidRPr="00A55CB5">
              <w:rPr>
                <w:b/>
                <w:vertAlign w:val="superscript"/>
                <w:lang w:val="en-US"/>
              </w:rPr>
              <w:t>2</w:t>
            </w:r>
            <w:r w:rsidRPr="00A55CB5">
              <w:rPr>
                <w:b/>
                <w:lang w:val="en-US"/>
              </w:rPr>
              <w:t xml:space="preserve"> (K)</w:t>
            </w:r>
          </w:p>
        </w:tc>
      </w:tr>
      <w:tr w:rsidR="00D03BC2" w:rsidRPr="00A55CB5" w:rsidTr="00721E27">
        <w:trPr>
          <w:jc w:val="center"/>
        </w:trPr>
        <w:tc>
          <w:tcPr>
            <w:tcW w:w="1555" w:type="dxa"/>
            <w:tcBorders>
              <w:top w:val="single" w:sz="4" w:space="0" w:color="00B050"/>
              <w:bottom w:val="nil"/>
            </w:tcBorders>
            <w:vAlign w:val="center"/>
          </w:tcPr>
          <w:p w:rsidR="00D03BC2" w:rsidRPr="00A55CB5" w:rsidRDefault="00D03BC2" w:rsidP="00115174">
            <w:pPr>
              <w:jc w:val="center"/>
              <w:rPr>
                <w:b/>
                <w:lang w:val="en-US"/>
              </w:rPr>
            </w:pPr>
            <w:r w:rsidRPr="00A55CB5">
              <w:rPr>
                <w:b/>
                <w:lang w:val="en-US"/>
              </w:rPr>
              <w:t>ATR</w:t>
            </w:r>
          </w:p>
        </w:tc>
        <w:tc>
          <w:tcPr>
            <w:tcW w:w="2697" w:type="dxa"/>
            <w:tcBorders>
              <w:top w:val="single" w:sz="4" w:space="0" w:color="00B050"/>
              <w:bottom w:val="nil"/>
            </w:tcBorders>
            <w:vAlign w:val="center"/>
          </w:tcPr>
          <w:p w:rsidR="00D03BC2" w:rsidRPr="00A55CB5" w:rsidRDefault="00D03BC2" w:rsidP="00115174">
            <w:pPr>
              <w:jc w:val="center"/>
              <w:rPr>
                <w:bCs/>
                <w:lang w:val="en-US"/>
              </w:rPr>
            </w:pPr>
            <w:r w:rsidRPr="00A55CB5">
              <w:rPr>
                <w:bCs/>
                <w:lang w:val="en-US"/>
              </w:rPr>
              <w:t>3</w:t>
            </w:r>
            <w:r w:rsidR="00971ACA" w:rsidRPr="00A55CB5">
              <w:rPr>
                <w:bCs/>
                <w:lang w:val="en-US"/>
              </w:rPr>
              <w:t>9</w:t>
            </w:r>
            <w:r w:rsidRPr="00A55CB5">
              <w:rPr>
                <w:bCs/>
                <w:lang w:val="en-US"/>
              </w:rPr>
              <w:t>.2, m</w:t>
            </w:r>
            <w:r w:rsidRPr="00A55CB5">
              <w:rPr>
                <w:bCs/>
                <w:i/>
                <w:iCs/>
                <w:lang w:val="en-US"/>
              </w:rPr>
              <w:t>axS at 1138.7 K</w:t>
            </w:r>
            <w:r w:rsidR="00E23AD0" w:rsidRPr="00A55CB5">
              <w:rPr>
                <w:bCs/>
                <w:i/>
                <w:iCs/>
                <w:lang w:val="en-US"/>
              </w:rPr>
              <w:t>; 1 bar</w:t>
            </w:r>
          </w:p>
        </w:tc>
        <w:tc>
          <w:tcPr>
            <w:tcW w:w="2693" w:type="dxa"/>
            <w:tcBorders>
              <w:top w:val="single" w:sz="4" w:space="0" w:color="00B050"/>
              <w:bottom w:val="nil"/>
            </w:tcBorders>
            <w:vAlign w:val="center"/>
          </w:tcPr>
          <w:p w:rsidR="00D03BC2" w:rsidRPr="00A55CB5" w:rsidRDefault="00CF1E45" w:rsidP="00115174">
            <w:pPr>
              <w:jc w:val="center"/>
              <w:rPr>
                <w:bCs/>
                <w:lang w:val="en-US"/>
              </w:rPr>
            </w:pPr>
            <w:r w:rsidRPr="00A55CB5">
              <w:rPr>
                <w:bCs/>
                <w:lang w:val="en-US"/>
              </w:rPr>
              <w:t>43</w:t>
            </w:r>
            <w:r w:rsidR="00D03BC2" w:rsidRPr="00A55CB5">
              <w:rPr>
                <w:bCs/>
                <w:lang w:val="en-US"/>
              </w:rPr>
              <w:t>.</w:t>
            </w:r>
            <w:r w:rsidRPr="00A55CB5">
              <w:rPr>
                <w:bCs/>
                <w:lang w:val="en-US"/>
              </w:rPr>
              <w:t>1</w:t>
            </w:r>
            <w:r w:rsidR="00D03BC2" w:rsidRPr="00A55CB5">
              <w:rPr>
                <w:bCs/>
                <w:lang w:val="en-US"/>
              </w:rPr>
              <w:t xml:space="preserve">, </w:t>
            </w:r>
            <w:r w:rsidR="00D03BC2" w:rsidRPr="00A55CB5">
              <w:rPr>
                <w:bCs/>
                <w:i/>
                <w:iCs/>
                <w:lang w:val="en-US"/>
              </w:rPr>
              <w:t>minG at</w:t>
            </w:r>
            <w:r w:rsidR="00D03BC2" w:rsidRPr="00A55CB5">
              <w:rPr>
                <w:bCs/>
                <w:lang w:val="en-US"/>
              </w:rPr>
              <w:t xml:space="preserve"> 730 K</w:t>
            </w:r>
            <w:r w:rsidR="00E23AD0" w:rsidRPr="00A55CB5">
              <w:rPr>
                <w:bCs/>
                <w:lang w:val="en-US"/>
              </w:rPr>
              <w:t>; 1 bar</w:t>
            </w:r>
          </w:p>
        </w:tc>
        <w:tc>
          <w:tcPr>
            <w:tcW w:w="1702" w:type="dxa"/>
            <w:tcBorders>
              <w:top w:val="single" w:sz="4" w:space="0" w:color="00B050"/>
              <w:bottom w:val="nil"/>
            </w:tcBorders>
            <w:vAlign w:val="center"/>
          </w:tcPr>
          <w:p w:rsidR="00D03BC2" w:rsidRPr="00A55CB5" w:rsidRDefault="00D03BC2" w:rsidP="00115174">
            <w:pPr>
              <w:jc w:val="center"/>
              <w:rPr>
                <w:bCs/>
                <w:lang w:val="en-US"/>
              </w:rPr>
            </w:pPr>
            <w:r w:rsidRPr="00A55CB5">
              <w:rPr>
                <w:bCs/>
                <w:lang w:val="en-US"/>
              </w:rPr>
              <w:t xml:space="preserve">1138.7 </w:t>
            </w:r>
          </w:p>
        </w:tc>
      </w:tr>
      <w:tr w:rsidR="00D03BC2" w:rsidRPr="00A55CB5" w:rsidTr="00721E27">
        <w:trPr>
          <w:jc w:val="center"/>
        </w:trPr>
        <w:tc>
          <w:tcPr>
            <w:tcW w:w="1555" w:type="dxa"/>
            <w:tcBorders>
              <w:top w:val="nil"/>
              <w:bottom w:val="nil"/>
            </w:tcBorders>
            <w:vAlign w:val="center"/>
          </w:tcPr>
          <w:p w:rsidR="00D03BC2" w:rsidRPr="00A55CB5" w:rsidRDefault="00D03BC2" w:rsidP="00115174">
            <w:pPr>
              <w:jc w:val="center"/>
              <w:rPr>
                <w:b/>
                <w:lang w:val="en-US"/>
              </w:rPr>
            </w:pPr>
            <w:r w:rsidRPr="00A55CB5">
              <w:rPr>
                <w:b/>
                <w:lang w:val="en-US"/>
              </w:rPr>
              <w:t>PR</w:t>
            </w:r>
          </w:p>
        </w:tc>
        <w:tc>
          <w:tcPr>
            <w:tcW w:w="2697" w:type="dxa"/>
            <w:tcBorders>
              <w:top w:val="nil"/>
              <w:bottom w:val="nil"/>
            </w:tcBorders>
            <w:vAlign w:val="center"/>
          </w:tcPr>
          <w:p w:rsidR="00D03BC2" w:rsidRPr="00A55CB5" w:rsidRDefault="00D03BC2" w:rsidP="00115174">
            <w:pPr>
              <w:jc w:val="center"/>
              <w:rPr>
                <w:bCs/>
                <w:i/>
                <w:iCs/>
                <w:lang w:val="en-US"/>
              </w:rPr>
            </w:pPr>
            <w:r w:rsidRPr="00A55CB5">
              <w:rPr>
                <w:bCs/>
                <w:lang w:val="en-US"/>
              </w:rPr>
              <w:t>2</w:t>
            </w:r>
            <w:r w:rsidR="00CF1E45" w:rsidRPr="00A55CB5">
              <w:rPr>
                <w:bCs/>
                <w:lang w:val="en-US"/>
              </w:rPr>
              <w:t>9</w:t>
            </w:r>
            <w:r w:rsidRPr="00A55CB5">
              <w:rPr>
                <w:bCs/>
                <w:lang w:val="en-US"/>
              </w:rPr>
              <w:t>.2,</w:t>
            </w:r>
            <w:r w:rsidRPr="00A55CB5">
              <w:rPr>
                <w:bCs/>
                <w:i/>
                <w:iCs/>
                <w:lang w:val="en-US"/>
              </w:rPr>
              <w:t xml:space="preserve"> minG at 950 K</w:t>
            </w:r>
            <w:r w:rsidR="00E23AD0" w:rsidRPr="00A55CB5">
              <w:rPr>
                <w:bCs/>
                <w:i/>
                <w:iCs/>
                <w:lang w:val="en-US"/>
              </w:rPr>
              <w:t>; 1 bar</w:t>
            </w:r>
          </w:p>
        </w:tc>
        <w:tc>
          <w:tcPr>
            <w:tcW w:w="2693" w:type="dxa"/>
            <w:tcBorders>
              <w:top w:val="nil"/>
              <w:bottom w:val="nil"/>
            </w:tcBorders>
            <w:vAlign w:val="center"/>
          </w:tcPr>
          <w:p w:rsidR="00D03BC2" w:rsidRPr="00A55CB5" w:rsidRDefault="00CF1E45" w:rsidP="00115174">
            <w:pPr>
              <w:jc w:val="center"/>
              <w:rPr>
                <w:bCs/>
                <w:lang w:val="en-US"/>
              </w:rPr>
            </w:pPr>
            <w:r w:rsidRPr="00A55CB5">
              <w:rPr>
                <w:bCs/>
                <w:lang w:val="en-US"/>
              </w:rPr>
              <w:t>39</w:t>
            </w:r>
            <w:r w:rsidR="00D03BC2" w:rsidRPr="00A55CB5">
              <w:rPr>
                <w:bCs/>
                <w:lang w:val="en-US"/>
              </w:rPr>
              <w:t>.</w:t>
            </w:r>
            <w:r w:rsidRPr="00A55CB5">
              <w:rPr>
                <w:bCs/>
                <w:lang w:val="en-US"/>
              </w:rPr>
              <w:t>8</w:t>
            </w:r>
            <w:r w:rsidR="00D03BC2" w:rsidRPr="00A55CB5">
              <w:rPr>
                <w:bCs/>
                <w:lang w:val="en-US"/>
              </w:rPr>
              <w:t xml:space="preserve">, </w:t>
            </w:r>
            <w:r w:rsidR="00D03BC2" w:rsidRPr="00A55CB5">
              <w:rPr>
                <w:bCs/>
                <w:i/>
                <w:iCs/>
                <w:lang w:val="en-US"/>
              </w:rPr>
              <w:t>minG at</w:t>
            </w:r>
            <w:r w:rsidR="00D03BC2" w:rsidRPr="00A55CB5">
              <w:rPr>
                <w:bCs/>
                <w:lang w:val="en-US"/>
              </w:rPr>
              <w:t xml:space="preserve"> 730 K</w:t>
            </w:r>
            <w:r w:rsidR="00E23AD0" w:rsidRPr="00A55CB5">
              <w:rPr>
                <w:bCs/>
                <w:lang w:val="en-US"/>
              </w:rPr>
              <w:t>; 1 bar</w:t>
            </w:r>
          </w:p>
        </w:tc>
        <w:tc>
          <w:tcPr>
            <w:tcW w:w="1702" w:type="dxa"/>
            <w:tcBorders>
              <w:top w:val="nil"/>
              <w:bottom w:val="nil"/>
            </w:tcBorders>
            <w:vAlign w:val="center"/>
          </w:tcPr>
          <w:p w:rsidR="00D03BC2" w:rsidRPr="00A55CB5" w:rsidRDefault="00AB35DD" w:rsidP="00115174">
            <w:pPr>
              <w:jc w:val="center"/>
              <w:rPr>
                <w:bCs/>
                <w:lang w:val="en-US"/>
              </w:rPr>
            </w:pPr>
            <w:r w:rsidRPr="00A55CB5">
              <w:rPr>
                <w:bCs/>
                <w:lang w:val="en-US"/>
              </w:rPr>
              <w:t>6</w:t>
            </w:r>
            <w:r w:rsidR="00D03BC2" w:rsidRPr="00A55CB5">
              <w:rPr>
                <w:bCs/>
                <w:lang w:val="en-US"/>
              </w:rPr>
              <w:t xml:space="preserve">20.3 </w:t>
            </w:r>
          </w:p>
        </w:tc>
      </w:tr>
      <w:tr w:rsidR="00D03BC2" w:rsidRPr="00A55CB5" w:rsidTr="00721E27">
        <w:trPr>
          <w:jc w:val="center"/>
        </w:trPr>
        <w:tc>
          <w:tcPr>
            <w:tcW w:w="1555" w:type="dxa"/>
            <w:tcBorders>
              <w:top w:val="nil"/>
              <w:bottom w:val="nil"/>
            </w:tcBorders>
            <w:vAlign w:val="center"/>
          </w:tcPr>
          <w:p w:rsidR="00D03BC2" w:rsidRPr="00A55CB5" w:rsidRDefault="00D03BC2" w:rsidP="00115174">
            <w:pPr>
              <w:jc w:val="center"/>
              <w:rPr>
                <w:b/>
                <w:lang w:val="en-US"/>
              </w:rPr>
            </w:pPr>
            <w:r w:rsidRPr="00A55CB5">
              <w:rPr>
                <w:b/>
                <w:lang w:val="en-US"/>
              </w:rPr>
              <w:t>SR</w:t>
            </w:r>
          </w:p>
        </w:tc>
        <w:tc>
          <w:tcPr>
            <w:tcW w:w="2697" w:type="dxa"/>
            <w:tcBorders>
              <w:top w:val="nil"/>
              <w:bottom w:val="nil"/>
            </w:tcBorders>
            <w:vAlign w:val="center"/>
          </w:tcPr>
          <w:p w:rsidR="00D03BC2" w:rsidRPr="00A55CB5" w:rsidRDefault="00CF1E45" w:rsidP="00CF1E45">
            <w:pPr>
              <w:jc w:val="center"/>
              <w:rPr>
                <w:bCs/>
                <w:lang w:val="en-US"/>
              </w:rPr>
            </w:pPr>
            <w:r w:rsidRPr="00A55CB5">
              <w:rPr>
                <w:bCs/>
                <w:lang w:val="en-US"/>
              </w:rPr>
              <w:t>37.4, minG at 1000 K</w:t>
            </w:r>
            <w:r w:rsidR="00E23AD0" w:rsidRPr="00A55CB5">
              <w:rPr>
                <w:bCs/>
                <w:lang w:val="en-US"/>
              </w:rPr>
              <w:t>; 1 bar</w:t>
            </w:r>
          </w:p>
        </w:tc>
        <w:tc>
          <w:tcPr>
            <w:tcW w:w="2693" w:type="dxa"/>
            <w:tcBorders>
              <w:top w:val="nil"/>
              <w:bottom w:val="nil"/>
            </w:tcBorders>
            <w:vAlign w:val="center"/>
          </w:tcPr>
          <w:p w:rsidR="00D03BC2" w:rsidRPr="00A55CB5" w:rsidRDefault="00CF1E45" w:rsidP="00115174">
            <w:pPr>
              <w:jc w:val="center"/>
              <w:rPr>
                <w:bCs/>
                <w:lang w:val="en-US"/>
              </w:rPr>
            </w:pPr>
            <w:r w:rsidRPr="00A55CB5">
              <w:rPr>
                <w:bCs/>
                <w:lang w:val="en-US"/>
              </w:rPr>
              <w:t>55.4, min G at 730 K</w:t>
            </w:r>
            <w:r w:rsidR="00E23AD0" w:rsidRPr="00A55CB5">
              <w:rPr>
                <w:bCs/>
                <w:lang w:val="en-US"/>
              </w:rPr>
              <w:t>; 1 bar</w:t>
            </w:r>
          </w:p>
        </w:tc>
        <w:tc>
          <w:tcPr>
            <w:tcW w:w="1702" w:type="dxa"/>
            <w:tcBorders>
              <w:top w:val="nil"/>
              <w:bottom w:val="nil"/>
            </w:tcBorders>
            <w:vAlign w:val="center"/>
          </w:tcPr>
          <w:p w:rsidR="00D03BC2" w:rsidRPr="00A55CB5" w:rsidRDefault="00F25F37" w:rsidP="00115174">
            <w:pPr>
              <w:jc w:val="center"/>
              <w:rPr>
                <w:bCs/>
                <w:lang w:val="en-US"/>
              </w:rPr>
            </w:pPr>
            <w:r w:rsidRPr="00A55CB5">
              <w:rPr>
                <w:bCs/>
                <w:lang w:val="en-US"/>
              </w:rPr>
              <w:t>384.5</w:t>
            </w:r>
          </w:p>
        </w:tc>
      </w:tr>
      <w:tr w:rsidR="00D03BC2" w:rsidRPr="00A55CB5" w:rsidTr="00721E27">
        <w:trPr>
          <w:jc w:val="center"/>
        </w:trPr>
        <w:tc>
          <w:tcPr>
            <w:tcW w:w="1555" w:type="dxa"/>
            <w:tcBorders>
              <w:top w:val="nil"/>
              <w:bottom w:val="single" w:sz="4" w:space="0" w:color="00B050"/>
            </w:tcBorders>
            <w:vAlign w:val="center"/>
          </w:tcPr>
          <w:p w:rsidR="00D03BC2" w:rsidRPr="00A55CB5" w:rsidRDefault="00D03BC2" w:rsidP="00115174">
            <w:pPr>
              <w:jc w:val="center"/>
              <w:rPr>
                <w:b/>
                <w:lang w:val="en-US"/>
              </w:rPr>
            </w:pPr>
            <w:r w:rsidRPr="00A55CB5">
              <w:rPr>
                <w:b/>
                <w:lang w:val="en-US"/>
              </w:rPr>
              <w:t>SCWG</w:t>
            </w:r>
          </w:p>
        </w:tc>
        <w:tc>
          <w:tcPr>
            <w:tcW w:w="2697" w:type="dxa"/>
            <w:tcBorders>
              <w:top w:val="nil"/>
              <w:bottom w:val="single" w:sz="4" w:space="0" w:color="00B050"/>
            </w:tcBorders>
            <w:vAlign w:val="center"/>
          </w:tcPr>
          <w:p w:rsidR="00D03BC2" w:rsidRPr="00A55CB5" w:rsidRDefault="00D03BC2" w:rsidP="00115174">
            <w:pPr>
              <w:jc w:val="center"/>
              <w:rPr>
                <w:bCs/>
                <w:lang w:val="en-US"/>
              </w:rPr>
            </w:pPr>
            <w:r w:rsidRPr="00A55CB5">
              <w:rPr>
                <w:bCs/>
                <w:lang w:val="en-US"/>
              </w:rPr>
              <w:t xml:space="preserve">38.7, </w:t>
            </w:r>
            <w:r w:rsidRPr="00A55CB5">
              <w:rPr>
                <w:bCs/>
                <w:i/>
                <w:iCs/>
                <w:lang w:val="en-US"/>
              </w:rPr>
              <w:t>minG</w:t>
            </w:r>
            <w:r w:rsidRPr="00A55CB5">
              <w:rPr>
                <w:bCs/>
                <w:lang w:val="en-US"/>
              </w:rPr>
              <w:t xml:space="preserve"> at</w:t>
            </w:r>
            <w:r w:rsidR="00E23AD0" w:rsidRPr="00A55CB5">
              <w:rPr>
                <w:bCs/>
                <w:lang w:val="en-US"/>
              </w:rPr>
              <w:t xml:space="preserve"> </w:t>
            </w:r>
            <w:r w:rsidRPr="00A55CB5">
              <w:rPr>
                <w:bCs/>
                <w:lang w:val="en-US"/>
              </w:rPr>
              <w:t>1130 K</w:t>
            </w:r>
            <w:r w:rsidR="00E23AD0" w:rsidRPr="00A55CB5">
              <w:rPr>
                <w:bCs/>
                <w:lang w:val="en-US"/>
              </w:rPr>
              <w:t>; 220 bar</w:t>
            </w:r>
          </w:p>
        </w:tc>
        <w:tc>
          <w:tcPr>
            <w:tcW w:w="2693" w:type="dxa"/>
            <w:tcBorders>
              <w:top w:val="nil"/>
              <w:bottom w:val="single" w:sz="4" w:space="0" w:color="00B050"/>
            </w:tcBorders>
            <w:vAlign w:val="center"/>
          </w:tcPr>
          <w:p w:rsidR="00D03BC2" w:rsidRPr="00A55CB5" w:rsidRDefault="00CF1E45" w:rsidP="00115174">
            <w:pPr>
              <w:jc w:val="center"/>
              <w:rPr>
                <w:bCs/>
                <w:lang w:val="en-US"/>
              </w:rPr>
            </w:pPr>
            <w:r w:rsidRPr="00A55CB5">
              <w:rPr>
                <w:bCs/>
                <w:lang w:val="en-US"/>
              </w:rPr>
              <w:t>48.9</w:t>
            </w:r>
            <w:r w:rsidR="00D03BC2" w:rsidRPr="00A55CB5">
              <w:rPr>
                <w:bCs/>
                <w:lang w:val="en-US"/>
              </w:rPr>
              <w:t xml:space="preserve">, </w:t>
            </w:r>
            <w:r w:rsidR="00D03BC2" w:rsidRPr="00A55CB5">
              <w:rPr>
                <w:bCs/>
                <w:i/>
                <w:iCs/>
                <w:lang w:val="en-US"/>
              </w:rPr>
              <w:t xml:space="preserve">minG at </w:t>
            </w:r>
            <w:r w:rsidR="00D03BC2" w:rsidRPr="00A55CB5">
              <w:rPr>
                <w:bCs/>
                <w:lang w:val="en-US"/>
              </w:rPr>
              <w:t>730 K</w:t>
            </w:r>
            <w:r w:rsidR="00E23AD0" w:rsidRPr="00A55CB5">
              <w:rPr>
                <w:bCs/>
                <w:lang w:val="en-US"/>
              </w:rPr>
              <w:t>; 230 bar</w:t>
            </w:r>
          </w:p>
        </w:tc>
        <w:tc>
          <w:tcPr>
            <w:tcW w:w="1702" w:type="dxa"/>
            <w:tcBorders>
              <w:top w:val="nil"/>
              <w:bottom w:val="single" w:sz="4" w:space="0" w:color="00B050"/>
            </w:tcBorders>
            <w:vAlign w:val="center"/>
          </w:tcPr>
          <w:p w:rsidR="00D03BC2" w:rsidRPr="00A55CB5" w:rsidRDefault="00D03BC2" w:rsidP="00115174">
            <w:pPr>
              <w:jc w:val="center"/>
              <w:rPr>
                <w:bCs/>
                <w:lang w:val="en-US"/>
              </w:rPr>
            </w:pPr>
            <w:r w:rsidRPr="00A55CB5">
              <w:rPr>
                <w:bCs/>
                <w:lang w:val="en-US"/>
              </w:rPr>
              <w:t xml:space="preserve">892.4 </w:t>
            </w:r>
          </w:p>
        </w:tc>
      </w:tr>
    </w:tbl>
    <w:p w:rsidR="00D03BC2" w:rsidRPr="00A55CB5" w:rsidRDefault="00D03BC2" w:rsidP="00721E27">
      <w:pPr>
        <w:pStyle w:val="PargrafodaLista"/>
        <w:ind w:left="0"/>
        <w:rPr>
          <w:bCs/>
          <w:sz w:val="16"/>
          <w:szCs w:val="16"/>
          <w:lang w:val="en-US"/>
        </w:rPr>
      </w:pPr>
      <w:r w:rsidRPr="00A55CB5">
        <w:rPr>
          <w:bCs/>
          <w:sz w:val="16"/>
          <w:szCs w:val="16"/>
          <w:vertAlign w:val="superscript"/>
          <w:lang w:val="en-US"/>
        </w:rPr>
        <w:t>1</w:t>
      </w:r>
      <w:r w:rsidRPr="00A55CB5">
        <w:rPr>
          <w:bCs/>
          <w:sz w:val="16"/>
          <w:szCs w:val="16"/>
          <w:lang w:val="en-US"/>
        </w:rPr>
        <w:t xml:space="preserve">considering both simulations </w:t>
      </w:r>
      <w:r w:rsidRPr="00A55CB5">
        <w:rPr>
          <w:bCs/>
          <w:i/>
          <w:iCs/>
          <w:sz w:val="16"/>
          <w:szCs w:val="16"/>
          <w:lang w:val="en-US"/>
        </w:rPr>
        <w:t>maxS</w:t>
      </w:r>
      <w:r w:rsidRPr="00A55CB5">
        <w:rPr>
          <w:bCs/>
          <w:sz w:val="16"/>
          <w:szCs w:val="16"/>
          <w:lang w:val="en-US"/>
        </w:rPr>
        <w:t xml:space="preserve"> and </w:t>
      </w:r>
      <w:r w:rsidRPr="00A55CB5">
        <w:rPr>
          <w:bCs/>
          <w:i/>
          <w:iCs/>
          <w:sz w:val="16"/>
          <w:szCs w:val="16"/>
          <w:lang w:val="en-US"/>
        </w:rPr>
        <w:t>minG</w:t>
      </w:r>
      <w:r w:rsidRPr="00A55CB5">
        <w:rPr>
          <w:bCs/>
          <w:sz w:val="16"/>
          <w:szCs w:val="16"/>
          <w:lang w:val="en-US"/>
        </w:rPr>
        <w:t xml:space="preserve">, the indication next to the number represents the reaction condition where </w:t>
      </w:r>
      <w:r w:rsidR="00B00559" w:rsidRPr="00A55CB5">
        <w:rPr>
          <w:bCs/>
          <w:sz w:val="16"/>
          <w:szCs w:val="16"/>
          <w:lang w:val="en-US"/>
        </w:rPr>
        <w:t>maximum</w:t>
      </w:r>
      <w:r w:rsidRPr="00A55CB5">
        <w:rPr>
          <w:bCs/>
          <w:sz w:val="16"/>
          <w:szCs w:val="16"/>
          <w:lang w:val="en-US"/>
        </w:rPr>
        <w:t xml:space="preserve"> H</w:t>
      </w:r>
      <w:r w:rsidRPr="00A55CB5">
        <w:rPr>
          <w:bCs/>
          <w:sz w:val="16"/>
          <w:szCs w:val="16"/>
          <w:vertAlign w:val="subscript"/>
          <w:lang w:val="en-US"/>
        </w:rPr>
        <w:t>2</w:t>
      </w:r>
      <w:r w:rsidRPr="00A55CB5">
        <w:rPr>
          <w:bCs/>
          <w:sz w:val="16"/>
          <w:szCs w:val="16"/>
          <w:lang w:val="en-US"/>
        </w:rPr>
        <w:t xml:space="preserve"> production was reached, t</w:t>
      </w:r>
      <w:r w:rsidR="00B00559" w:rsidRPr="00A55CB5">
        <w:rPr>
          <w:bCs/>
          <w:sz w:val="16"/>
          <w:szCs w:val="16"/>
          <w:lang w:val="en-US"/>
        </w:rPr>
        <w:t>h</w:t>
      </w:r>
      <w:r w:rsidRPr="00A55CB5">
        <w:rPr>
          <w:bCs/>
          <w:sz w:val="16"/>
          <w:szCs w:val="16"/>
          <w:lang w:val="en-US"/>
        </w:rPr>
        <w:t xml:space="preserve">e value besides represents the temperature of the process where this production was reached.  </w:t>
      </w:r>
      <w:r w:rsidRPr="00A55CB5">
        <w:rPr>
          <w:bCs/>
          <w:sz w:val="16"/>
          <w:szCs w:val="16"/>
          <w:vertAlign w:val="superscript"/>
          <w:lang w:val="en-US"/>
        </w:rPr>
        <w:t>2</w:t>
      </w:r>
      <w:r w:rsidRPr="00A55CB5">
        <w:rPr>
          <w:bCs/>
          <w:sz w:val="16"/>
          <w:szCs w:val="16"/>
          <w:lang w:val="en-US"/>
        </w:rPr>
        <w:t>For all thermochemical processes tested the initial temperature was fixed at 900K (intermediate value within the tested conditions).</w:t>
      </w:r>
    </w:p>
    <w:p w:rsidR="00B00559" w:rsidRPr="00A55CB5" w:rsidRDefault="00B00559" w:rsidP="00B00559">
      <w:pPr>
        <w:tabs>
          <w:tab w:val="clear" w:pos="7100"/>
        </w:tabs>
        <w:spacing w:line="240" w:lineRule="auto"/>
        <w:rPr>
          <w:rFonts w:cs="Arial"/>
          <w:szCs w:val="18"/>
          <w:lang w:val="en-US" w:eastAsia="pt-BR"/>
        </w:rPr>
      </w:pPr>
    </w:p>
    <w:p w:rsidR="00E42BF6" w:rsidRPr="00A55CB5" w:rsidRDefault="00E42BF6" w:rsidP="00E42BF6">
      <w:pPr>
        <w:tabs>
          <w:tab w:val="clear" w:pos="7100"/>
        </w:tabs>
        <w:spacing w:line="240" w:lineRule="auto"/>
        <w:rPr>
          <w:rFonts w:cs="Arial"/>
          <w:szCs w:val="18"/>
          <w:lang w:val="en-US" w:eastAsia="pt-BR"/>
        </w:rPr>
      </w:pPr>
      <w:r w:rsidRPr="00A55CB5">
        <w:rPr>
          <w:rFonts w:cs="Arial"/>
          <w:szCs w:val="18"/>
          <w:lang w:val="en-US" w:eastAsia="pt-BR"/>
        </w:rPr>
        <w:t>The highest CH</w:t>
      </w:r>
      <w:r w:rsidRPr="00A55CB5">
        <w:rPr>
          <w:rFonts w:ascii="Cambria Math" w:hAnsi="Cambria Math" w:cs="Cambria Math"/>
          <w:szCs w:val="18"/>
          <w:lang w:val="en-US" w:eastAsia="pt-BR"/>
        </w:rPr>
        <w:t>₄</w:t>
      </w:r>
      <w:r w:rsidRPr="00A55CB5">
        <w:rPr>
          <w:rFonts w:cs="Arial"/>
          <w:szCs w:val="18"/>
          <w:lang w:val="en-US" w:eastAsia="pt-BR"/>
        </w:rPr>
        <w:t xml:space="preserve"> and H</w:t>
      </w:r>
      <w:r w:rsidRPr="00A55CB5">
        <w:rPr>
          <w:rFonts w:ascii="Cambria Math" w:hAnsi="Cambria Math" w:cs="Cambria Math"/>
          <w:szCs w:val="18"/>
          <w:lang w:val="en-US" w:eastAsia="pt-BR"/>
        </w:rPr>
        <w:t>₂</w:t>
      </w:r>
      <w:r w:rsidRPr="00A55CB5">
        <w:rPr>
          <w:rFonts w:cs="Arial"/>
          <w:szCs w:val="18"/>
          <w:lang w:val="en-US" w:eastAsia="pt-BR"/>
        </w:rPr>
        <w:t xml:space="preserve"> production were observed at lower pressures: 1 atm for PR, SR, and ATR, and 220 bar for SCWG. According to Table 1, SCWG and ATR reactions achieved the highest H</w:t>
      </w:r>
      <w:r w:rsidRPr="00A55CB5">
        <w:rPr>
          <w:rFonts w:ascii="Cambria Math" w:hAnsi="Cambria Math" w:cs="Cambria Math"/>
          <w:szCs w:val="18"/>
          <w:lang w:val="en-US" w:eastAsia="pt-BR"/>
        </w:rPr>
        <w:t>₂</w:t>
      </w:r>
      <w:r w:rsidRPr="00A55CB5">
        <w:rPr>
          <w:rFonts w:cs="Arial"/>
          <w:szCs w:val="18"/>
          <w:lang w:val="en-US" w:eastAsia="pt-BR"/>
        </w:rPr>
        <w:t xml:space="preserve"> molar productivity, primarily due to the </w:t>
      </w:r>
      <w:r w:rsidR="0078222F" w:rsidRPr="00A55CB5">
        <w:rPr>
          <w:rFonts w:cs="Arial"/>
          <w:szCs w:val="18"/>
          <w:lang w:val="en-US" w:eastAsia="pt-BR"/>
        </w:rPr>
        <w:t>high-water</w:t>
      </w:r>
      <w:r w:rsidRPr="00A55CB5">
        <w:rPr>
          <w:rFonts w:cs="Arial"/>
          <w:szCs w:val="18"/>
          <w:lang w:val="en-US" w:eastAsia="pt-BR"/>
        </w:rPr>
        <w:t xml:space="preserve"> content in both processes, which promotes the water-gas shift reaction and enhances H</w:t>
      </w:r>
      <w:r w:rsidRPr="00A55CB5">
        <w:rPr>
          <w:rFonts w:ascii="Cambria Math" w:hAnsi="Cambria Math" w:cs="Cambria Math"/>
          <w:szCs w:val="18"/>
          <w:lang w:val="en-US" w:eastAsia="pt-BR"/>
        </w:rPr>
        <w:t>₂</w:t>
      </w:r>
      <w:r w:rsidRPr="00A55CB5">
        <w:rPr>
          <w:rFonts w:cs="Arial"/>
          <w:szCs w:val="18"/>
          <w:lang w:val="en-US" w:eastAsia="pt-BR"/>
        </w:rPr>
        <w:t xml:space="preserve"> output (Chen and Chen, 2020). Similar findings were reported by Freitas and Guirardello (2014) and Santos-Júnior et al. (2024) in studies of thermochemical conversion pathways and black liquor gasification. However, this study distinguishes itself due to the greater complexity of the açaí seed biomass, which includes nitrogen and a higher C/H molar ratio, leading to more challenging operational conditions due to increased chemical reactions. The higher C/H ratio results in a larger proportion of carbonaceous compounds in the output compared to other biomass sources.</w:t>
      </w:r>
    </w:p>
    <w:p w:rsidR="00E42BF6" w:rsidRPr="00A55CB5" w:rsidRDefault="00E42BF6" w:rsidP="00E42BF6">
      <w:pPr>
        <w:tabs>
          <w:tab w:val="clear" w:pos="7100"/>
        </w:tabs>
        <w:spacing w:line="240" w:lineRule="auto"/>
        <w:rPr>
          <w:rFonts w:cs="Arial"/>
          <w:szCs w:val="18"/>
          <w:lang w:val="en-US" w:eastAsia="pt-BR"/>
        </w:rPr>
      </w:pPr>
      <w:r w:rsidRPr="00A55CB5">
        <w:rPr>
          <w:rFonts w:cs="Arial"/>
          <w:szCs w:val="18"/>
          <w:lang w:val="en-US" w:eastAsia="pt-BR"/>
        </w:rPr>
        <w:t xml:space="preserve">In terms of thermal behavior, the ATR process showed maximum hydrogen production at 1138.7 K, achieved using the </w:t>
      </w:r>
      <w:r w:rsidRPr="00A55CB5">
        <w:rPr>
          <w:rFonts w:cs="Arial"/>
          <w:i/>
          <w:iCs/>
          <w:szCs w:val="18"/>
          <w:lang w:val="en-US" w:eastAsia="pt-BR"/>
        </w:rPr>
        <w:t>maxS</w:t>
      </w:r>
      <w:r w:rsidRPr="00A55CB5">
        <w:rPr>
          <w:rFonts w:cs="Arial"/>
          <w:szCs w:val="18"/>
          <w:lang w:val="en-US" w:eastAsia="pt-BR"/>
        </w:rPr>
        <w:t xml:space="preserve"> method (non-isothermal operation). This indicates that the ATR process for açaí seeds is slightly exothermic, a trend that supports H</w:t>
      </w:r>
      <w:r w:rsidRPr="00A55CB5">
        <w:rPr>
          <w:rFonts w:ascii="Cambria Math" w:hAnsi="Cambria Math" w:cs="Cambria Math"/>
          <w:szCs w:val="18"/>
          <w:lang w:val="en-US" w:eastAsia="pt-BR"/>
        </w:rPr>
        <w:t>₂</w:t>
      </w:r>
      <w:r w:rsidRPr="00A55CB5">
        <w:rPr>
          <w:rFonts w:cs="Arial"/>
          <w:szCs w:val="18"/>
          <w:lang w:val="en-US" w:eastAsia="pt-BR"/>
        </w:rPr>
        <w:t xml:space="preserve"> production in the ATR reactive system (Gomes et al., 2022). On the other hand, SR, PR, and SCWG reactions showed endothermic behavior, with the SR reaction being the most endothermic among them (Brito et al., 202</w:t>
      </w:r>
      <w:r w:rsidR="007119FD" w:rsidRPr="00A55CB5">
        <w:rPr>
          <w:rFonts w:cs="Arial"/>
          <w:szCs w:val="18"/>
          <w:lang w:val="en-US" w:eastAsia="pt-BR"/>
        </w:rPr>
        <w:t>3</w:t>
      </w:r>
      <w:r w:rsidRPr="00A55CB5">
        <w:rPr>
          <w:rFonts w:cs="Arial"/>
          <w:szCs w:val="18"/>
          <w:lang w:val="en-US" w:eastAsia="pt-BR"/>
        </w:rPr>
        <w:t>). Maximum H</w:t>
      </w:r>
      <w:r w:rsidRPr="00A55CB5">
        <w:rPr>
          <w:rFonts w:ascii="Cambria Math" w:hAnsi="Cambria Math" w:cs="Cambria Math"/>
          <w:szCs w:val="18"/>
          <w:lang w:val="en-US" w:eastAsia="pt-BR"/>
        </w:rPr>
        <w:t>₂</w:t>
      </w:r>
      <w:r w:rsidRPr="00A55CB5">
        <w:rPr>
          <w:rFonts w:cs="Arial"/>
          <w:szCs w:val="18"/>
          <w:lang w:val="en-US" w:eastAsia="pt-BR"/>
        </w:rPr>
        <w:t xml:space="preserve"> production for PR, SR, and SCWG occurred </w:t>
      </w:r>
      <w:r w:rsidRPr="00A55CB5">
        <w:rPr>
          <w:rFonts w:cs="Arial"/>
          <w:szCs w:val="18"/>
          <w:lang w:val="en-US" w:eastAsia="pt-BR"/>
        </w:rPr>
        <w:lastRenderedPageBreak/>
        <w:t xml:space="preserve">during the </w:t>
      </w:r>
      <w:r w:rsidRPr="00A55CB5">
        <w:rPr>
          <w:rFonts w:cs="Arial"/>
          <w:i/>
          <w:iCs/>
          <w:szCs w:val="18"/>
          <w:lang w:val="en-US" w:eastAsia="pt-BR"/>
        </w:rPr>
        <w:t>minG</w:t>
      </w:r>
      <w:r w:rsidRPr="00A55CB5">
        <w:rPr>
          <w:rFonts w:cs="Arial"/>
          <w:szCs w:val="18"/>
          <w:lang w:val="en-US" w:eastAsia="pt-BR"/>
        </w:rPr>
        <w:t xml:space="preserve"> simulations. This behavior is expected, as endothermic processes tend to be more productive under isothermal conditions, such as those simulated by the </w:t>
      </w:r>
      <w:r w:rsidRPr="00A55CB5">
        <w:rPr>
          <w:rFonts w:cs="Arial"/>
          <w:i/>
          <w:iCs/>
          <w:szCs w:val="18"/>
          <w:lang w:val="en-US" w:eastAsia="pt-BR"/>
        </w:rPr>
        <w:t xml:space="preserve">minG </w:t>
      </w:r>
      <w:r w:rsidRPr="00A55CB5">
        <w:rPr>
          <w:rFonts w:cs="Arial"/>
          <w:szCs w:val="18"/>
          <w:lang w:val="en-US" w:eastAsia="pt-BR"/>
        </w:rPr>
        <w:t>model.</w:t>
      </w:r>
    </w:p>
    <w:p w:rsidR="00E42BF6" w:rsidRPr="00A55CB5" w:rsidRDefault="00E42BF6" w:rsidP="00E42BF6">
      <w:pPr>
        <w:tabs>
          <w:tab w:val="clear" w:pos="7100"/>
        </w:tabs>
        <w:spacing w:line="240" w:lineRule="auto"/>
        <w:rPr>
          <w:rFonts w:cs="Arial"/>
          <w:szCs w:val="18"/>
          <w:lang w:val="en-US" w:eastAsia="pt-BR"/>
        </w:rPr>
      </w:pPr>
      <w:r w:rsidRPr="00A55CB5">
        <w:rPr>
          <w:rFonts w:cs="Arial"/>
          <w:szCs w:val="18"/>
          <w:lang w:val="en-US" w:eastAsia="pt-BR"/>
        </w:rPr>
        <w:t>Maximum CH</w:t>
      </w:r>
      <w:r w:rsidRPr="00A55CB5">
        <w:rPr>
          <w:rFonts w:ascii="Cambria Math" w:hAnsi="Cambria Math" w:cs="Cambria Math"/>
          <w:szCs w:val="18"/>
          <w:lang w:val="en-US" w:eastAsia="pt-BR"/>
        </w:rPr>
        <w:t>₄</w:t>
      </w:r>
      <w:r w:rsidRPr="00A55CB5">
        <w:rPr>
          <w:rFonts w:cs="Arial"/>
          <w:szCs w:val="18"/>
          <w:lang w:val="en-US" w:eastAsia="pt-BR"/>
        </w:rPr>
        <w:t xml:space="preserve"> production occurred during </w:t>
      </w:r>
      <w:r w:rsidRPr="00A55CB5">
        <w:rPr>
          <w:rFonts w:cs="Arial"/>
          <w:i/>
          <w:iCs/>
          <w:szCs w:val="18"/>
          <w:lang w:val="en-US" w:eastAsia="pt-BR"/>
        </w:rPr>
        <w:t>minG</w:t>
      </w:r>
      <w:r w:rsidRPr="00A55CB5">
        <w:rPr>
          <w:rFonts w:cs="Arial"/>
          <w:szCs w:val="18"/>
          <w:lang w:val="en-US" w:eastAsia="pt-BR"/>
        </w:rPr>
        <w:t xml:space="preserve"> simulations at lower temperatures, consistent with expectations, as higher temperatures are typically associated with CH</w:t>
      </w:r>
      <w:r w:rsidRPr="00A55CB5">
        <w:rPr>
          <w:rFonts w:ascii="Cambria Math" w:hAnsi="Cambria Math" w:cs="Cambria Math"/>
          <w:szCs w:val="18"/>
          <w:lang w:val="en-US" w:eastAsia="pt-BR"/>
        </w:rPr>
        <w:t>₄</w:t>
      </w:r>
      <w:r w:rsidRPr="00A55CB5">
        <w:rPr>
          <w:rFonts w:cs="Arial"/>
          <w:szCs w:val="18"/>
          <w:lang w:val="en-US" w:eastAsia="pt-BR"/>
        </w:rPr>
        <w:t xml:space="preserve"> decomposition into H</w:t>
      </w:r>
      <w:r w:rsidRPr="00A55CB5">
        <w:rPr>
          <w:rFonts w:ascii="Cambria Math" w:hAnsi="Cambria Math" w:cs="Cambria Math"/>
          <w:szCs w:val="18"/>
          <w:lang w:val="en-US" w:eastAsia="pt-BR"/>
        </w:rPr>
        <w:t>₂</w:t>
      </w:r>
      <w:r w:rsidRPr="00A55CB5">
        <w:rPr>
          <w:rFonts w:cs="Arial"/>
          <w:szCs w:val="18"/>
          <w:lang w:val="en-US" w:eastAsia="pt-BR"/>
        </w:rPr>
        <w:t xml:space="preserve"> and CO</w:t>
      </w:r>
      <w:r w:rsidRPr="00A55CB5">
        <w:rPr>
          <w:rFonts w:cs="Arial"/>
          <w:szCs w:val="18"/>
          <w:vertAlign w:val="subscript"/>
          <w:lang w:val="en-US" w:eastAsia="pt-BR"/>
        </w:rPr>
        <w:t>x</w:t>
      </w:r>
      <w:r w:rsidRPr="00A55CB5">
        <w:rPr>
          <w:rFonts w:cs="Arial"/>
          <w:szCs w:val="18"/>
          <w:lang w:val="en-US" w:eastAsia="pt-BR"/>
        </w:rPr>
        <w:t xml:space="preserve"> gases. The primary nitrogen derivative across all simulations was pure N</w:t>
      </w:r>
      <w:r w:rsidRPr="00A55CB5">
        <w:rPr>
          <w:rFonts w:ascii="Cambria Math" w:hAnsi="Cambria Math" w:cs="Cambria Math"/>
          <w:szCs w:val="18"/>
          <w:lang w:val="en-US" w:eastAsia="pt-BR"/>
        </w:rPr>
        <w:t>₂</w:t>
      </w:r>
      <w:r w:rsidRPr="00A55CB5">
        <w:rPr>
          <w:rFonts w:cs="Arial"/>
          <w:szCs w:val="18"/>
          <w:lang w:val="en-US" w:eastAsia="pt-BR"/>
        </w:rPr>
        <w:t xml:space="preserve"> (about 97%), with small amounts of NO and NO</w:t>
      </w:r>
      <w:r w:rsidRPr="00A55CB5">
        <w:rPr>
          <w:rFonts w:ascii="Cambria Math" w:hAnsi="Cambria Math" w:cs="Cambria Math"/>
          <w:szCs w:val="18"/>
          <w:lang w:val="en-US" w:eastAsia="pt-BR"/>
        </w:rPr>
        <w:t>₂</w:t>
      </w:r>
      <w:r w:rsidRPr="00A55CB5">
        <w:rPr>
          <w:rFonts w:cs="Arial"/>
          <w:szCs w:val="18"/>
          <w:lang w:val="en-US" w:eastAsia="pt-BR"/>
        </w:rPr>
        <w:t xml:space="preserve"> (less than 10</w:t>
      </w:r>
      <w:r w:rsidRPr="00A55CB5">
        <w:rPr>
          <w:rFonts w:ascii="Cambria Math" w:hAnsi="Cambria Math" w:cs="Cambria Math"/>
          <w:szCs w:val="18"/>
          <w:lang w:val="en-US" w:eastAsia="pt-BR"/>
        </w:rPr>
        <w:t>⁻</w:t>
      </w:r>
      <w:r w:rsidRPr="00A55CB5">
        <w:rPr>
          <w:rFonts w:cs="Arial"/>
          <w:szCs w:val="18"/>
          <w:lang w:val="en-US" w:eastAsia="pt-BR"/>
        </w:rPr>
        <w:t>⁵ mol) detected in the ATR reaction, possibly due to higher oxidizing agents in the feed. NH</w:t>
      </w:r>
      <w:r w:rsidRPr="00A55CB5">
        <w:rPr>
          <w:rFonts w:ascii="Cambria Math" w:hAnsi="Cambria Math" w:cs="Cambria Math"/>
          <w:szCs w:val="18"/>
          <w:lang w:val="en-US" w:eastAsia="pt-BR"/>
        </w:rPr>
        <w:t>₃</w:t>
      </w:r>
      <w:r w:rsidRPr="00A55CB5">
        <w:rPr>
          <w:rFonts w:cs="Arial"/>
          <w:szCs w:val="18"/>
          <w:lang w:val="en-US" w:eastAsia="pt-BR"/>
        </w:rPr>
        <w:t xml:space="preserve"> was also produced in small quantities (less than 10</w:t>
      </w:r>
      <w:r w:rsidRPr="00A55CB5">
        <w:rPr>
          <w:rFonts w:ascii="Cambria Math" w:hAnsi="Cambria Math" w:cs="Cambria Math"/>
          <w:szCs w:val="18"/>
          <w:lang w:val="en-US" w:eastAsia="pt-BR"/>
        </w:rPr>
        <w:t>⁻</w:t>
      </w:r>
      <w:r w:rsidRPr="00A55CB5">
        <w:rPr>
          <w:rFonts w:cs="Arial"/>
          <w:szCs w:val="18"/>
          <w:lang w:val="en-US" w:eastAsia="pt-BR"/>
        </w:rPr>
        <w:t xml:space="preserve">⁶ mol) in all </w:t>
      </w:r>
      <w:r w:rsidR="0093192F" w:rsidRPr="00A55CB5">
        <w:rPr>
          <w:rFonts w:cs="Arial"/>
          <w:szCs w:val="18"/>
          <w:lang w:val="en-US" w:eastAsia="pt-BR"/>
        </w:rPr>
        <w:t xml:space="preserve">simulated </w:t>
      </w:r>
      <w:r w:rsidRPr="00A55CB5">
        <w:rPr>
          <w:rFonts w:cs="Arial"/>
          <w:szCs w:val="18"/>
          <w:lang w:val="en-US" w:eastAsia="pt-BR"/>
        </w:rPr>
        <w:t>processes.</w:t>
      </w:r>
    </w:p>
    <w:p w:rsidR="00E42BF6" w:rsidRPr="00A55CB5" w:rsidRDefault="00E42BF6" w:rsidP="00E42BF6">
      <w:pPr>
        <w:tabs>
          <w:tab w:val="clear" w:pos="7100"/>
        </w:tabs>
        <w:spacing w:line="240" w:lineRule="auto"/>
        <w:rPr>
          <w:rFonts w:cs="Arial"/>
          <w:szCs w:val="18"/>
          <w:lang w:val="en-US" w:eastAsia="pt-BR"/>
        </w:rPr>
      </w:pPr>
      <w:r w:rsidRPr="00A55CB5">
        <w:rPr>
          <w:rFonts w:cs="Arial"/>
          <w:szCs w:val="18"/>
          <w:lang w:val="en-US" w:eastAsia="pt-BR"/>
        </w:rPr>
        <w:t>The highest H</w:t>
      </w:r>
      <w:r w:rsidRPr="00A55CB5">
        <w:rPr>
          <w:rFonts w:ascii="Cambria Math" w:hAnsi="Cambria Math" w:cs="Cambria Math"/>
          <w:szCs w:val="18"/>
          <w:lang w:val="en-US" w:eastAsia="pt-BR"/>
        </w:rPr>
        <w:t>₂</w:t>
      </w:r>
      <w:r w:rsidRPr="00A55CB5">
        <w:rPr>
          <w:rFonts w:cs="Arial"/>
          <w:szCs w:val="18"/>
          <w:lang w:val="en-US" w:eastAsia="pt-BR"/>
        </w:rPr>
        <w:t xml:space="preserve"> production was observed in the </w:t>
      </w:r>
      <w:r w:rsidRPr="00A55CB5">
        <w:rPr>
          <w:rFonts w:cs="Arial"/>
          <w:i/>
          <w:iCs/>
          <w:szCs w:val="18"/>
          <w:lang w:val="en-US" w:eastAsia="pt-BR"/>
        </w:rPr>
        <w:t>minG</w:t>
      </w:r>
      <w:r w:rsidRPr="00A55CB5">
        <w:rPr>
          <w:rFonts w:cs="Arial"/>
          <w:szCs w:val="18"/>
          <w:lang w:val="en-US" w:eastAsia="pt-BR"/>
        </w:rPr>
        <w:t xml:space="preserve"> simulations for SCWG, while the ATR reaction showed the most interesting operational behavior in </w:t>
      </w:r>
      <w:r w:rsidRPr="00A55CB5">
        <w:rPr>
          <w:rFonts w:cs="Arial"/>
          <w:i/>
          <w:iCs/>
          <w:szCs w:val="18"/>
          <w:lang w:val="en-US" w:eastAsia="pt-BR"/>
        </w:rPr>
        <w:t xml:space="preserve">maxS </w:t>
      </w:r>
      <w:r w:rsidRPr="00A55CB5">
        <w:rPr>
          <w:rFonts w:cs="Arial"/>
          <w:szCs w:val="18"/>
          <w:lang w:val="en-US" w:eastAsia="pt-BR"/>
        </w:rPr>
        <w:t xml:space="preserve">simulations. These characteristics made SCWG and ATR the most intriguing processes, prompting further analysis with </w:t>
      </w:r>
      <w:r w:rsidRPr="00A55CB5">
        <w:rPr>
          <w:rFonts w:cs="Arial"/>
          <w:i/>
          <w:iCs/>
          <w:szCs w:val="18"/>
          <w:lang w:val="en-US" w:eastAsia="pt-BR"/>
        </w:rPr>
        <w:t>TeS</w:t>
      </w:r>
      <w:r w:rsidRPr="00A55CB5">
        <w:rPr>
          <w:rFonts w:cs="Arial"/>
          <w:szCs w:val="18"/>
          <w:lang w:val="en-US" w:eastAsia="pt-BR"/>
        </w:rPr>
        <w:t xml:space="preserve"> software. Figure 1 presents the results: Panel (a) shows the Spearman correlation for SCWG (</w:t>
      </w:r>
      <w:r w:rsidRPr="00A55CB5">
        <w:rPr>
          <w:rFonts w:cs="Arial"/>
          <w:i/>
          <w:iCs/>
          <w:szCs w:val="18"/>
          <w:lang w:val="en-US" w:eastAsia="pt-BR"/>
        </w:rPr>
        <w:t>minG</w:t>
      </w:r>
      <w:r w:rsidRPr="00A55CB5">
        <w:rPr>
          <w:rFonts w:cs="Arial"/>
          <w:szCs w:val="18"/>
          <w:lang w:val="en-US" w:eastAsia="pt-BR"/>
        </w:rPr>
        <w:t xml:space="preserve"> model), and panel (b) shows the ATR process (</w:t>
      </w:r>
      <w:r w:rsidRPr="00A55CB5">
        <w:rPr>
          <w:rFonts w:cs="Arial"/>
          <w:i/>
          <w:iCs/>
          <w:szCs w:val="18"/>
          <w:lang w:val="en-US" w:eastAsia="pt-BR"/>
        </w:rPr>
        <w:t xml:space="preserve">maxS </w:t>
      </w:r>
      <w:r w:rsidRPr="00A55CB5">
        <w:rPr>
          <w:rFonts w:cs="Arial"/>
          <w:szCs w:val="18"/>
          <w:lang w:val="en-US" w:eastAsia="pt-BR"/>
        </w:rPr>
        <w:t>model).</w:t>
      </w:r>
    </w:p>
    <w:p w:rsidR="00DF509D" w:rsidRPr="00A55CB5" w:rsidRDefault="00E42BF6" w:rsidP="00E42BF6">
      <w:pPr>
        <w:tabs>
          <w:tab w:val="clear" w:pos="7100"/>
        </w:tabs>
        <w:spacing w:line="240" w:lineRule="auto"/>
        <w:rPr>
          <w:rFonts w:cs="Arial"/>
          <w:szCs w:val="18"/>
          <w:lang w:val="en-US" w:eastAsia="pt-BR"/>
        </w:rPr>
      </w:pPr>
      <w:r w:rsidRPr="00A55CB5">
        <w:rPr>
          <w:rFonts w:cs="Arial"/>
          <w:szCs w:val="18"/>
          <w:lang w:val="en-US" w:eastAsia="pt-BR"/>
        </w:rPr>
        <w:t>The results from Figure 1 indicate that pressure had a secondary influence on SCWG for açaí seeds, aligning with findings by Maia et al. (2024) for lignocellulosic biomass. Temperature significantly influenced CO and H</w:t>
      </w:r>
      <w:r w:rsidRPr="00A55CB5">
        <w:rPr>
          <w:rFonts w:ascii="Cambria Math" w:hAnsi="Cambria Math" w:cs="Cambria Math"/>
          <w:szCs w:val="18"/>
          <w:lang w:val="en-US" w:eastAsia="pt-BR"/>
        </w:rPr>
        <w:t>₂</w:t>
      </w:r>
      <w:r w:rsidRPr="00A55CB5">
        <w:rPr>
          <w:rFonts w:cs="Arial"/>
          <w:szCs w:val="18"/>
          <w:lang w:val="en-US" w:eastAsia="pt-BR"/>
        </w:rPr>
        <w:t xml:space="preserve"> production, which is linked to the water-gas shift reaction. CH</w:t>
      </w:r>
      <w:r w:rsidRPr="00A55CB5">
        <w:rPr>
          <w:rFonts w:ascii="Cambria Math" w:hAnsi="Cambria Math" w:cs="Cambria Math"/>
          <w:szCs w:val="18"/>
          <w:lang w:val="en-US" w:eastAsia="pt-BR"/>
        </w:rPr>
        <w:t>₄</w:t>
      </w:r>
      <w:r w:rsidRPr="00A55CB5">
        <w:rPr>
          <w:rFonts w:cs="Arial"/>
          <w:szCs w:val="18"/>
          <w:lang w:val="en-US" w:eastAsia="pt-BR"/>
        </w:rPr>
        <w:t xml:space="preserve"> exhibited a strong negative correlation with temperature, suggesting that CH</w:t>
      </w:r>
      <w:r w:rsidRPr="00A55CB5">
        <w:rPr>
          <w:rFonts w:ascii="Cambria Math" w:hAnsi="Cambria Math" w:cs="Cambria Math"/>
          <w:szCs w:val="18"/>
          <w:lang w:val="en-US" w:eastAsia="pt-BR"/>
        </w:rPr>
        <w:t>₄</w:t>
      </w:r>
      <w:r w:rsidRPr="00A55CB5">
        <w:rPr>
          <w:rFonts w:cs="Arial"/>
          <w:szCs w:val="18"/>
          <w:lang w:val="en-US" w:eastAsia="pt-BR"/>
        </w:rPr>
        <w:t xml:space="preserve"> is degraded at higher temperatures, acting as an intermediate in açaí seed biomass decomposition during SCWG. Ammonia formation was favored at lower temperatures, but no significant amounts were observed in the product. The direct relationship between biomass and hydrogen production was of secondary importance, indicating that the primary reaction pathway in SCWG involves intermediate compounds, </w:t>
      </w:r>
      <w:r w:rsidR="0093192F" w:rsidRPr="00A55CB5">
        <w:rPr>
          <w:rFonts w:cs="Arial"/>
          <w:szCs w:val="18"/>
          <w:lang w:val="en-US" w:eastAsia="pt-BR"/>
        </w:rPr>
        <w:t>like</w:t>
      </w:r>
      <w:r w:rsidRPr="00A55CB5">
        <w:rPr>
          <w:rFonts w:cs="Arial"/>
          <w:szCs w:val="18"/>
          <w:lang w:val="en-US" w:eastAsia="pt-BR"/>
        </w:rPr>
        <w:t xml:space="preserve"> findings by Guan et al. (2012) for microalgal biomass decomposition in supercritical water.</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03"/>
      </w:tblGrid>
      <w:tr w:rsidR="0077187D" w:rsidRPr="00A55CB5" w:rsidTr="0077187D">
        <w:trPr>
          <w:jc w:val="center"/>
        </w:trPr>
        <w:tc>
          <w:tcPr>
            <w:tcW w:w="8927" w:type="dxa"/>
          </w:tcPr>
          <w:p w:rsidR="0077187D" w:rsidRPr="00A55CB5" w:rsidRDefault="0077187D" w:rsidP="00DF509D">
            <w:pPr>
              <w:rPr>
                <w:rFonts w:cs="Arial"/>
                <w:szCs w:val="18"/>
                <w:lang w:val="en-US"/>
              </w:rPr>
            </w:pPr>
            <w:r w:rsidRPr="00A55CB5">
              <w:rPr>
                <w:rFonts w:cs="Arial"/>
                <w:noProof/>
                <w:sz w:val="16"/>
                <w:szCs w:val="18"/>
                <w:lang w:val="pt-BR" w:eastAsia="pt-BR"/>
              </w:rPr>
              <w:drawing>
                <wp:anchor distT="0" distB="0" distL="114300" distR="114300" simplePos="0" relativeHeight="251659264" behindDoc="0" locked="0" layoutInCell="1" allowOverlap="1">
                  <wp:simplePos x="0" y="0"/>
                  <wp:positionH relativeFrom="column">
                    <wp:posOffset>-69850</wp:posOffset>
                  </wp:positionH>
                  <wp:positionV relativeFrom="paragraph">
                    <wp:posOffset>144780</wp:posOffset>
                  </wp:positionV>
                  <wp:extent cx="5742940" cy="2237105"/>
                  <wp:effectExtent l="0" t="0" r="0" b="0"/>
                  <wp:wrapSquare wrapText="bothSides"/>
                  <wp:docPr id="602552097" name="Imagem 3"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552097" name="Imagem 3" descr="Gráfico&#10;&#10;Descrição gerada automaticamente"/>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42940" cy="2237105"/>
                          </a:xfrm>
                          <a:prstGeom prst="rect">
                            <a:avLst/>
                          </a:prstGeom>
                        </pic:spPr>
                      </pic:pic>
                    </a:graphicData>
                  </a:graphic>
                </wp:anchor>
              </w:drawing>
            </w:r>
          </w:p>
        </w:tc>
      </w:tr>
      <w:tr w:rsidR="008725D3" w:rsidRPr="00A55CB5" w:rsidTr="0077187D">
        <w:trPr>
          <w:jc w:val="center"/>
        </w:trPr>
        <w:tc>
          <w:tcPr>
            <w:tcW w:w="8927" w:type="dxa"/>
          </w:tcPr>
          <w:p w:rsidR="008725D3" w:rsidRPr="00A55CB5" w:rsidRDefault="008725D3" w:rsidP="00DF509D">
            <w:pPr>
              <w:rPr>
                <w:rFonts w:cs="Arial"/>
                <w:noProof/>
                <w:sz w:val="16"/>
                <w:szCs w:val="18"/>
                <w:lang w:val="en-US" w:eastAsia="pt-BR"/>
              </w:rPr>
            </w:pPr>
            <w:r w:rsidRPr="00A55CB5">
              <w:rPr>
                <w:rFonts w:cs="Arial"/>
                <w:b/>
                <w:bCs/>
                <w:szCs w:val="18"/>
                <w:lang w:val="en-US"/>
              </w:rPr>
              <w:t>Figure 1.</w:t>
            </w:r>
            <w:r w:rsidRPr="00A55CB5">
              <w:rPr>
                <w:rFonts w:cs="Arial"/>
                <w:szCs w:val="18"/>
                <w:lang w:val="en-US"/>
              </w:rPr>
              <w:t xml:space="preserve"> Spearman correlations for SCWG using </w:t>
            </w:r>
            <w:r w:rsidRPr="00A55CB5">
              <w:rPr>
                <w:rFonts w:cs="Arial"/>
                <w:i/>
                <w:iCs/>
                <w:szCs w:val="18"/>
                <w:lang w:val="en-US"/>
              </w:rPr>
              <w:t>minG</w:t>
            </w:r>
            <w:r w:rsidRPr="00A55CB5">
              <w:rPr>
                <w:rFonts w:cs="Arial"/>
                <w:szCs w:val="18"/>
                <w:lang w:val="en-US"/>
              </w:rPr>
              <w:t xml:space="preserve"> model (a) and ATR using </w:t>
            </w:r>
            <w:r w:rsidRPr="00A55CB5">
              <w:rPr>
                <w:rFonts w:cs="Arial"/>
                <w:i/>
                <w:iCs/>
                <w:szCs w:val="18"/>
                <w:lang w:val="en-US"/>
              </w:rPr>
              <w:t>maxS</w:t>
            </w:r>
            <w:r w:rsidRPr="00A55CB5">
              <w:rPr>
                <w:rFonts w:cs="Arial"/>
                <w:szCs w:val="18"/>
                <w:lang w:val="en-US"/>
              </w:rPr>
              <w:t xml:space="preserve"> model (b) of açaí seeds.</w:t>
            </w:r>
          </w:p>
        </w:tc>
      </w:tr>
    </w:tbl>
    <w:p w:rsidR="0077187D" w:rsidRPr="00A55CB5" w:rsidRDefault="0077187D" w:rsidP="00DF509D">
      <w:pPr>
        <w:rPr>
          <w:rFonts w:cs="Arial"/>
          <w:szCs w:val="18"/>
          <w:lang w:val="en-US"/>
        </w:rPr>
      </w:pPr>
    </w:p>
    <w:p w:rsidR="009A3FD1" w:rsidRPr="00A55CB5" w:rsidRDefault="009A3FD1" w:rsidP="009A3FD1">
      <w:pPr>
        <w:rPr>
          <w:lang w:val="en-US"/>
        </w:rPr>
      </w:pPr>
      <w:r w:rsidRPr="00A55CB5">
        <w:rPr>
          <w:lang w:val="en-US"/>
        </w:rPr>
        <w:t>For the ATR process, shown in Figure 1(b), pressure plays a more significant role than in the SCWG reaction discussed earlier, particularly in the production of NH</w:t>
      </w:r>
      <w:r w:rsidRPr="00A55CB5">
        <w:rPr>
          <w:vertAlign w:val="subscript"/>
          <w:lang w:val="en-US"/>
        </w:rPr>
        <w:t>3</w:t>
      </w:r>
      <w:r w:rsidRPr="00A55CB5">
        <w:rPr>
          <w:lang w:val="en-US"/>
        </w:rPr>
        <w:t xml:space="preserve"> and CH</w:t>
      </w:r>
      <w:r w:rsidRPr="00A55CB5">
        <w:rPr>
          <w:vertAlign w:val="subscript"/>
          <w:lang w:val="en-US"/>
        </w:rPr>
        <w:t>4</w:t>
      </w:r>
      <w:r w:rsidRPr="00A55CB5">
        <w:rPr>
          <w:lang w:val="en-US"/>
        </w:rPr>
        <w:t>. NH</w:t>
      </w:r>
      <w:r w:rsidRPr="00A55CB5">
        <w:rPr>
          <w:vertAlign w:val="subscript"/>
          <w:lang w:val="en-US"/>
        </w:rPr>
        <w:t>3</w:t>
      </w:r>
      <w:r w:rsidRPr="00A55CB5">
        <w:rPr>
          <w:lang w:val="en-US"/>
        </w:rPr>
        <w:t>, while still a secondary product from the degradation of nitrogen in the biomass, was more favorably produced as operating pressure increased during ATR reaction. The initial operating temperature demonstrated a strong correlation with the equilibrium temperature, indicating that higher initial temperatures lead to higher equilibrium temperatures, as expected. H</w:t>
      </w:r>
      <w:r w:rsidRPr="00A55CB5">
        <w:rPr>
          <w:vertAlign w:val="subscript"/>
          <w:lang w:val="en-US"/>
        </w:rPr>
        <w:t>2</w:t>
      </w:r>
      <w:r w:rsidRPr="00A55CB5">
        <w:rPr>
          <w:lang w:val="en-US"/>
        </w:rPr>
        <w:t xml:space="preserve"> production was favored at higher equilibrium temperatures, with minimal dependence on operating pressure. Unlike the SCWG process, the amount of biomass in the feed was directly proportional to the amount of H</w:t>
      </w:r>
      <w:r w:rsidRPr="00A55CB5">
        <w:rPr>
          <w:vertAlign w:val="subscript"/>
          <w:lang w:val="en-US"/>
        </w:rPr>
        <w:t>2</w:t>
      </w:r>
      <w:r w:rsidRPr="00A55CB5">
        <w:rPr>
          <w:lang w:val="en-US"/>
        </w:rPr>
        <w:t xml:space="preserve"> produced in the ATR process, suggesting that different reaction pathways are followed during açaí seed decomposition in SCWG and ATR.</w:t>
      </w:r>
      <w:r w:rsidR="0077187D" w:rsidRPr="00A55CB5">
        <w:rPr>
          <w:lang w:val="en-US"/>
        </w:rPr>
        <w:t xml:space="preserve"> </w:t>
      </w:r>
      <w:r w:rsidRPr="00A55CB5">
        <w:rPr>
          <w:lang w:val="en-US"/>
        </w:rPr>
        <w:t>To investigate the combined effects of pressure and temperature on H</w:t>
      </w:r>
      <w:r w:rsidRPr="00A55CB5">
        <w:rPr>
          <w:vertAlign w:val="subscript"/>
          <w:lang w:val="en-US"/>
        </w:rPr>
        <w:t>2</w:t>
      </w:r>
      <w:r w:rsidRPr="00A55CB5">
        <w:rPr>
          <w:lang w:val="en-US"/>
        </w:rPr>
        <w:t xml:space="preserve"> production, Figures 2 (a) and 2 (b) were constructed for the SCWG and ATR processes, respectively, with the biomass input set at 23% by weight. The SCWG process was evaluated using the </w:t>
      </w:r>
      <w:r w:rsidRPr="00A55CB5">
        <w:rPr>
          <w:i/>
          <w:iCs/>
          <w:lang w:val="en-US"/>
        </w:rPr>
        <w:t xml:space="preserve">minG </w:t>
      </w:r>
      <w:r w:rsidRPr="00A55CB5">
        <w:rPr>
          <w:lang w:val="en-US"/>
        </w:rPr>
        <w:t xml:space="preserve">model, while the ATR process was evaluated using the </w:t>
      </w:r>
      <w:r w:rsidRPr="00A55CB5">
        <w:rPr>
          <w:i/>
          <w:iCs/>
          <w:lang w:val="en-US"/>
        </w:rPr>
        <w:t>maxS</w:t>
      </w:r>
      <w:r w:rsidRPr="00A55CB5">
        <w:rPr>
          <w:lang w:val="en-US"/>
        </w:rPr>
        <w:t xml:space="preserve"> model. From the results of this figure, it is evident that the ATR process produces higher total molar amounts of H</w:t>
      </w:r>
      <w:r w:rsidRPr="00A55CB5">
        <w:rPr>
          <w:vertAlign w:val="subscript"/>
          <w:lang w:val="en-US"/>
        </w:rPr>
        <w:t>2</w:t>
      </w:r>
      <w:r w:rsidRPr="00A55CB5">
        <w:rPr>
          <w:lang w:val="en-US"/>
        </w:rPr>
        <w:t xml:space="preserve"> compared to the SCWG process.</w:t>
      </w:r>
    </w:p>
    <w:p w:rsidR="009A3FD1" w:rsidRPr="00A55CB5" w:rsidRDefault="009A3FD1" w:rsidP="009A3FD1">
      <w:pPr>
        <w:rPr>
          <w:lang w:val="en-US"/>
        </w:rPr>
      </w:pPr>
      <w:r w:rsidRPr="00A55CB5">
        <w:rPr>
          <w:lang w:val="en-US"/>
        </w:rPr>
        <w:t>The behavior of the main gaseous products (CH</w:t>
      </w:r>
      <w:r w:rsidRPr="00A55CB5">
        <w:rPr>
          <w:rFonts w:ascii="Cambria Math" w:hAnsi="Cambria Math" w:cs="Cambria Math"/>
          <w:lang w:val="en-US"/>
        </w:rPr>
        <w:t>₄</w:t>
      </w:r>
      <w:r w:rsidRPr="00A55CB5">
        <w:rPr>
          <w:lang w:val="en-US"/>
        </w:rPr>
        <w:t>, CO, CO</w:t>
      </w:r>
      <w:r w:rsidRPr="00A55CB5">
        <w:rPr>
          <w:rFonts w:ascii="Cambria Math" w:hAnsi="Cambria Math" w:cs="Cambria Math"/>
          <w:lang w:val="en-US"/>
        </w:rPr>
        <w:t>₂</w:t>
      </w:r>
      <w:r w:rsidRPr="00A55CB5">
        <w:rPr>
          <w:lang w:val="en-US"/>
        </w:rPr>
        <w:t>, H</w:t>
      </w:r>
      <w:r w:rsidRPr="00A55CB5">
        <w:rPr>
          <w:rFonts w:ascii="Cambria Math" w:hAnsi="Cambria Math" w:cs="Cambria Math"/>
          <w:lang w:val="en-US"/>
        </w:rPr>
        <w:t>₂</w:t>
      </w:r>
      <w:r w:rsidRPr="00A55CB5">
        <w:rPr>
          <w:lang w:val="en-US"/>
        </w:rPr>
        <w:t>, and N</w:t>
      </w:r>
      <w:r w:rsidRPr="00A55CB5">
        <w:rPr>
          <w:rFonts w:ascii="Cambria Math" w:hAnsi="Cambria Math" w:cs="Cambria Math"/>
          <w:lang w:val="en-US"/>
        </w:rPr>
        <w:t>₂</w:t>
      </w:r>
      <w:r w:rsidRPr="00A55CB5">
        <w:rPr>
          <w:lang w:val="en-US"/>
        </w:rPr>
        <w:t xml:space="preserve">) is shown in Figures 2 (c) and 2 (d) for the SCWG and ATR processes of açaí seeds, respectively. Figure 2 (d) also includes the equilibrium temperature of the system (available only for the </w:t>
      </w:r>
      <w:r w:rsidRPr="00A55CB5">
        <w:rPr>
          <w:i/>
          <w:iCs/>
          <w:lang w:val="en-US"/>
        </w:rPr>
        <w:t>maxS</w:t>
      </w:r>
      <w:r w:rsidRPr="00A55CB5">
        <w:rPr>
          <w:lang w:val="en-US"/>
        </w:rPr>
        <w:t xml:space="preserve"> model, which is non-isothermic).</w:t>
      </w:r>
    </w:p>
    <w:p w:rsidR="00153323" w:rsidRPr="00A55CB5" w:rsidRDefault="009A3FD1" w:rsidP="00B8747C">
      <w:pPr>
        <w:spacing w:after="120"/>
        <w:rPr>
          <w:lang w:val="en-US"/>
        </w:rPr>
      </w:pPr>
      <w:r w:rsidRPr="00A55CB5">
        <w:rPr>
          <w:lang w:val="en-US"/>
        </w:rPr>
        <w:t>Upon evaluating the results in Figures 2 (c) and 2 (d), it is clear that high molar fractions of H</w:t>
      </w:r>
      <w:r w:rsidRPr="00A55CB5">
        <w:rPr>
          <w:rFonts w:ascii="Cambria Math" w:hAnsi="Cambria Math" w:cs="Cambria Math"/>
          <w:lang w:val="en-US"/>
        </w:rPr>
        <w:t>₂</w:t>
      </w:r>
      <w:r w:rsidRPr="00A55CB5">
        <w:rPr>
          <w:lang w:val="en-US"/>
        </w:rPr>
        <w:t xml:space="preserve"> gas are produced at higher temperatures for both processes (SCWG and ATR). An interesting observation is that the ATR process operates at high temperatures, even when the initial operating temperature is lower. For example, at an initial temperature of 750 K, the equilibrium temperature (which represents the operating </w:t>
      </w:r>
      <w:r w:rsidRPr="00A55CB5">
        <w:rPr>
          <w:lang w:val="en-US"/>
        </w:rPr>
        <w:lastRenderedPageBreak/>
        <w:t>temperature of the system) reached 1218 K, highlighting the highly exothermic nature of the ATR process (Zhao et al., 2015). Another noteworthy trend is that the ATR process consistently produces a high molar fraction of H</w:t>
      </w:r>
      <w:r w:rsidRPr="00A55CB5">
        <w:rPr>
          <w:rFonts w:ascii="Cambria Math" w:hAnsi="Cambria Math" w:cs="Cambria Math"/>
          <w:lang w:val="en-US"/>
        </w:rPr>
        <w:t>₂</w:t>
      </w:r>
      <w:r w:rsidRPr="00A55CB5">
        <w:rPr>
          <w:lang w:val="en-US"/>
        </w:rPr>
        <w:t>, remaining above 50% under all tested conditions.</w:t>
      </w:r>
    </w:p>
    <w:p w:rsidR="0077187D" w:rsidRPr="00A55CB5" w:rsidRDefault="0077187D" w:rsidP="00B00559">
      <w:pPr>
        <w:rPr>
          <w:rFonts w:cs="Arial"/>
          <w:szCs w:val="18"/>
          <w:lang w:val="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927"/>
      </w:tblGrid>
      <w:tr w:rsidR="0077187D" w:rsidRPr="00A55CB5" w:rsidTr="0077187D">
        <w:trPr>
          <w:jc w:val="center"/>
        </w:trPr>
        <w:tc>
          <w:tcPr>
            <w:tcW w:w="8927" w:type="dxa"/>
          </w:tcPr>
          <w:p w:rsidR="0077187D" w:rsidRPr="00A55CB5" w:rsidRDefault="0077187D" w:rsidP="0077187D">
            <w:pPr>
              <w:jc w:val="center"/>
              <w:rPr>
                <w:rFonts w:cs="Arial"/>
                <w:lang w:val="en-US"/>
              </w:rPr>
            </w:pPr>
            <w:r w:rsidRPr="00A55CB5">
              <w:rPr>
                <w:noProof/>
                <w:lang w:val="pt-BR" w:eastAsia="pt-BR"/>
              </w:rPr>
              <w:drawing>
                <wp:inline distT="0" distB="0" distL="0" distR="0">
                  <wp:extent cx="4936794" cy="3328737"/>
                  <wp:effectExtent l="0" t="0" r="0" b="0"/>
                  <wp:docPr id="1251041881" name="Imagem 2" descr="Gráfico, Gráfico de superfíci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41881" name="Imagem 2" descr="Gráfico, Gráfico de superfície&#10;&#10;Descrição gerada automaticament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49409" cy="3404670"/>
                          </a:xfrm>
                          <a:prstGeom prst="rect">
                            <a:avLst/>
                          </a:prstGeom>
                        </pic:spPr>
                      </pic:pic>
                    </a:graphicData>
                  </a:graphic>
                </wp:inline>
              </w:drawing>
            </w:r>
          </w:p>
        </w:tc>
      </w:tr>
      <w:tr w:rsidR="008725D3" w:rsidRPr="00A55CB5" w:rsidTr="0077187D">
        <w:trPr>
          <w:jc w:val="center"/>
        </w:trPr>
        <w:tc>
          <w:tcPr>
            <w:tcW w:w="8927" w:type="dxa"/>
          </w:tcPr>
          <w:p w:rsidR="008725D3" w:rsidRPr="00A55CB5" w:rsidRDefault="008725D3" w:rsidP="004F520D">
            <w:pPr>
              <w:spacing w:before="120"/>
              <w:rPr>
                <w:noProof/>
                <w:lang w:val="en-US" w:eastAsia="pt-BR"/>
              </w:rPr>
            </w:pPr>
            <w:r w:rsidRPr="00A55CB5">
              <w:rPr>
                <w:rFonts w:cs="Arial"/>
                <w:b/>
                <w:bCs/>
                <w:szCs w:val="18"/>
                <w:lang w:val="en-US"/>
              </w:rPr>
              <w:t xml:space="preserve">Figure 2. </w:t>
            </w:r>
            <w:r w:rsidRPr="00A55CB5">
              <w:rPr>
                <w:rFonts w:cs="Arial"/>
                <w:szCs w:val="18"/>
                <w:lang w:val="en-US"/>
              </w:rPr>
              <w:t>Response surfaces for combined effects of temperature and pressure, behavior of molar compositions and equilibrium temperature (---) resulting from the verified processes (a: SCWG for biomass equal to 23 %wt; b: ATR for biomass equal to 23 %wt; c: SCWG at 220 bar and biomass equal to 23 %wt; d: ATR at 1 bar and biomass equal to 23 %wt).</w:t>
            </w:r>
          </w:p>
        </w:tc>
      </w:tr>
    </w:tbl>
    <w:p w:rsidR="00D03BC2" w:rsidRPr="00A55CB5" w:rsidRDefault="00DF509D" w:rsidP="00B00559">
      <w:pPr>
        <w:rPr>
          <w:rFonts w:cs="Arial"/>
          <w:sz w:val="20"/>
          <w:lang w:val="en-US"/>
        </w:rPr>
      </w:pPr>
      <w:r w:rsidRPr="00A55CB5">
        <w:rPr>
          <w:rFonts w:cs="Arial"/>
          <w:lang w:val="en-US"/>
        </w:rPr>
        <w:tab/>
      </w:r>
    </w:p>
    <w:p w:rsidR="00A75FE6" w:rsidRPr="00A55CB5" w:rsidRDefault="009A3FD1" w:rsidP="009A3FD1">
      <w:pPr>
        <w:pStyle w:val="PargrafodaLista"/>
        <w:ind w:left="0"/>
        <w:rPr>
          <w:bCs/>
          <w:lang w:val="en-US"/>
        </w:rPr>
      </w:pPr>
      <w:r w:rsidRPr="00A55CB5">
        <w:rPr>
          <w:bCs/>
          <w:lang w:val="en-US"/>
        </w:rPr>
        <w:t>Upon further evaluation of the results presented in Figures 2(c) and 2(d), it is evident that in both cases, H</w:t>
      </w:r>
      <w:r w:rsidRPr="00A55CB5">
        <w:rPr>
          <w:rFonts w:ascii="Cambria Math" w:hAnsi="Cambria Math" w:cs="Cambria Math"/>
          <w:bCs/>
          <w:lang w:val="en-US"/>
        </w:rPr>
        <w:t>₂</w:t>
      </w:r>
      <w:r w:rsidRPr="00A55CB5">
        <w:rPr>
          <w:bCs/>
          <w:lang w:val="en-US"/>
        </w:rPr>
        <w:t xml:space="preserve"> was the primary product formed at high temperatures. In the isothermal SCWG process (Figure 2(c)), significant production of CO</w:t>
      </w:r>
      <w:r w:rsidRPr="00A55CB5">
        <w:rPr>
          <w:rFonts w:ascii="Cambria Math" w:hAnsi="Cambria Math" w:cs="Cambria Math"/>
          <w:bCs/>
          <w:lang w:val="en-US"/>
        </w:rPr>
        <w:t>₂</w:t>
      </w:r>
      <w:r w:rsidRPr="00A55CB5">
        <w:rPr>
          <w:bCs/>
          <w:lang w:val="en-US"/>
        </w:rPr>
        <w:t xml:space="preserve"> and CH</w:t>
      </w:r>
      <w:r w:rsidRPr="00A55CB5">
        <w:rPr>
          <w:rFonts w:ascii="Cambria Math" w:hAnsi="Cambria Math" w:cs="Cambria Math"/>
          <w:bCs/>
          <w:lang w:val="en-US"/>
        </w:rPr>
        <w:t>₄</w:t>
      </w:r>
      <w:r w:rsidRPr="00A55CB5">
        <w:rPr>
          <w:bCs/>
          <w:lang w:val="en-US"/>
        </w:rPr>
        <w:t xml:space="preserve"> was observed, with these being the predominant compounds in the reaction system at lower temperatures. Under the tested SCWG conditions, CO production was consistently low, never exceeding 10 mol%. The formation of products showed a strong dependence on the process temperature. Similar findings for the SCWG process are reported by Gomes et al. (2022) in their study on glycerol SCWG.</w:t>
      </w:r>
      <w:r w:rsidR="0077187D" w:rsidRPr="00A55CB5">
        <w:rPr>
          <w:bCs/>
          <w:lang w:val="en-US"/>
        </w:rPr>
        <w:t xml:space="preserve"> </w:t>
      </w:r>
      <w:r w:rsidRPr="00A55CB5">
        <w:rPr>
          <w:bCs/>
          <w:lang w:val="en-US"/>
        </w:rPr>
        <w:t>In contrast, the adiabatic ATR process (Figure 2(d)) displayed less sensitivity to the initial operating temperature. This was expected, as the exothermic nature of the ATR process ensures equilibrium temperatures consistently exceeding 1100 K. Throughout the ATR process, H</w:t>
      </w:r>
      <w:r w:rsidRPr="00A55CB5">
        <w:rPr>
          <w:rFonts w:ascii="Cambria Math" w:hAnsi="Cambria Math" w:cs="Cambria Math"/>
          <w:bCs/>
          <w:lang w:val="en-US"/>
        </w:rPr>
        <w:t>₂</w:t>
      </w:r>
      <w:r w:rsidRPr="00A55CB5">
        <w:rPr>
          <w:bCs/>
          <w:lang w:val="en-US"/>
        </w:rPr>
        <w:t xml:space="preserve"> remained the dominant product, followed by CO</w:t>
      </w:r>
      <w:r w:rsidRPr="00A55CB5">
        <w:rPr>
          <w:rFonts w:ascii="Cambria Math" w:hAnsi="Cambria Math" w:cs="Cambria Math"/>
          <w:bCs/>
          <w:lang w:val="en-US"/>
        </w:rPr>
        <w:t>₂</w:t>
      </w:r>
      <w:r w:rsidRPr="00A55CB5">
        <w:rPr>
          <w:bCs/>
          <w:lang w:val="en-US"/>
        </w:rPr>
        <w:t xml:space="preserve"> and CO. CH</w:t>
      </w:r>
      <w:r w:rsidRPr="00A55CB5">
        <w:rPr>
          <w:rFonts w:ascii="Cambria Math" w:hAnsi="Cambria Math" w:cs="Cambria Math"/>
          <w:bCs/>
          <w:lang w:val="en-US"/>
        </w:rPr>
        <w:t>₄</w:t>
      </w:r>
      <w:r w:rsidRPr="00A55CB5">
        <w:rPr>
          <w:bCs/>
          <w:lang w:val="en-US"/>
        </w:rPr>
        <w:t xml:space="preserve"> was always present in low concentrations (less than 2% molar), indicating its rapid consumption in the system due to the high equilibrium temperatures achieved</w:t>
      </w:r>
      <w:r w:rsidR="00B430B2" w:rsidRPr="00A55CB5">
        <w:rPr>
          <w:bCs/>
          <w:lang w:val="en-US"/>
        </w:rPr>
        <w:t xml:space="preserve"> at ATR process</w:t>
      </w:r>
      <w:r w:rsidRPr="00A55CB5">
        <w:rPr>
          <w:bCs/>
          <w:lang w:val="en-US"/>
        </w:rPr>
        <w:t>.</w:t>
      </w:r>
    </w:p>
    <w:p w:rsidR="00600535" w:rsidRPr="00A55CB5" w:rsidRDefault="00600535" w:rsidP="00600535">
      <w:pPr>
        <w:pStyle w:val="CETHeading1"/>
      </w:pPr>
      <w:r w:rsidRPr="00A55CB5">
        <w:t>Conclusions</w:t>
      </w:r>
    </w:p>
    <w:p w:rsidR="007C0123" w:rsidRPr="00A55CB5" w:rsidRDefault="009A3FD1" w:rsidP="00257C98">
      <w:pPr>
        <w:rPr>
          <w:bCs/>
          <w:lang w:val="en-US"/>
        </w:rPr>
      </w:pPr>
      <w:r w:rsidRPr="00A55CB5">
        <w:rPr>
          <w:bCs/>
          <w:lang w:val="en-US"/>
        </w:rPr>
        <w:t xml:space="preserve">The methodologies proposed in this study have proven reliable for thermodynamic predictions in the PR, SR, ATR, and SCWG reactive systems using real biomass, represented by açaí seeds in </w:t>
      </w:r>
      <w:r w:rsidR="00B430B2" w:rsidRPr="00A55CB5">
        <w:rPr>
          <w:bCs/>
          <w:lang w:val="en-US"/>
        </w:rPr>
        <w:t xml:space="preserve">performed </w:t>
      </w:r>
      <w:r w:rsidRPr="00A55CB5">
        <w:rPr>
          <w:bCs/>
          <w:lang w:val="en-US"/>
        </w:rPr>
        <w:t xml:space="preserve">simulations. The approaches applied </w:t>
      </w:r>
      <w:r w:rsidR="003727C2">
        <w:rPr>
          <w:bCs/>
          <w:lang w:val="en-US"/>
        </w:rPr>
        <w:t>using GAMS</w:t>
      </w:r>
      <w:r w:rsidRPr="00A55CB5">
        <w:rPr>
          <w:bCs/>
          <w:lang w:val="en-US"/>
        </w:rPr>
        <w:t xml:space="preserve"> demonstrated efficiency and speed, with computational times of less than 5 seconds for all cases analyzed. Longer computational times were observed for systems simulated using the </w:t>
      </w:r>
      <w:r w:rsidRPr="00A55CB5">
        <w:rPr>
          <w:bCs/>
          <w:i/>
          <w:iCs/>
          <w:lang w:val="en-US"/>
        </w:rPr>
        <w:t>maxS</w:t>
      </w:r>
      <w:r w:rsidRPr="00A55CB5">
        <w:rPr>
          <w:bCs/>
          <w:lang w:val="en-US"/>
        </w:rPr>
        <w:t xml:space="preserve"> method compared to those using the </w:t>
      </w:r>
      <w:proofErr w:type="spellStart"/>
      <w:r w:rsidRPr="00A55CB5">
        <w:rPr>
          <w:bCs/>
          <w:i/>
          <w:iCs/>
          <w:lang w:val="en-US"/>
        </w:rPr>
        <w:t>minG</w:t>
      </w:r>
      <w:proofErr w:type="spellEnd"/>
      <w:r w:rsidRPr="00A55CB5">
        <w:rPr>
          <w:bCs/>
          <w:i/>
          <w:iCs/>
          <w:lang w:val="en-US"/>
        </w:rPr>
        <w:t xml:space="preserve"> </w:t>
      </w:r>
      <w:r w:rsidRPr="00A55CB5">
        <w:rPr>
          <w:bCs/>
          <w:lang w:val="en-US"/>
        </w:rPr>
        <w:t xml:space="preserve">model, </w:t>
      </w:r>
      <w:r w:rsidR="00DB40E0">
        <w:rPr>
          <w:bCs/>
          <w:lang w:val="en-US"/>
        </w:rPr>
        <w:t>due to</w:t>
      </w:r>
      <w:r w:rsidRPr="00A55CB5">
        <w:rPr>
          <w:bCs/>
          <w:lang w:val="en-US"/>
        </w:rPr>
        <w:t xml:space="preserve"> the higher mathematical complexity of the </w:t>
      </w:r>
      <w:proofErr w:type="spellStart"/>
      <w:r w:rsidRPr="00A55CB5">
        <w:rPr>
          <w:bCs/>
          <w:i/>
          <w:iCs/>
          <w:lang w:val="en-US"/>
        </w:rPr>
        <w:t>maxS</w:t>
      </w:r>
      <w:proofErr w:type="spellEnd"/>
      <w:r w:rsidRPr="00A55CB5">
        <w:rPr>
          <w:bCs/>
          <w:lang w:val="en-US"/>
        </w:rPr>
        <w:t xml:space="preserve"> thermodynamic model</w:t>
      </w:r>
      <w:r w:rsidR="003727C2">
        <w:rPr>
          <w:bCs/>
          <w:lang w:val="en-US"/>
        </w:rPr>
        <w:t xml:space="preserve">, since in this case </w:t>
      </w:r>
      <w:r w:rsidR="003727C2" w:rsidRPr="003727C2">
        <w:rPr>
          <w:bCs/>
          <w:i/>
          <w:lang w:val="en-US"/>
        </w:rPr>
        <w:t>T</w:t>
      </w:r>
      <w:r w:rsidR="003727C2">
        <w:rPr>
          <w:bCs/>
          <w:lang w:val="en-US"/>
        </w:rPr>
        <w:t xml:space="preserve"> is a variable too</w:t>
      </w:r>
      <w:r w:rsidRPr="00A55CB5">
        <w:rPr>
          <w:bCs/>
          <w:lang w:val="en-US"/>
        </w:rPr>
        <w:t xml:space="preserve">. The free software </w:t>
      </w:r>
      <w:r w:rsidRPr="00A55CB5">
        <w:rPr>
          <w:bCs/>
          <w:i/>
          <w:iCs/>
          <w:lang w:val="en-US"/>
        </w:rPr>
        <w:t>TeS</w:t>
      </w:r>
      <w:r w:rsidRPr="00A55CB5">
        <w:rPr>
          <w:bCs/>
          <w:lang w:val="en-US"/>
        </w:rPr>
        <w:t xml:space="preserve"> was also found to be robust in facilitating thermodynamic analysis of various thermochemical processes, a total of 4,000 simulations were carried out in this software for the ATR and SCWG processes, with a total computational time of approximately 20 minutes.</w:t>
      </w:r>
      <w:r w:rsidR="0077187D" w:rsidRPr="00A55CB5">
        <w:rPr>
          <w:bCs/>
          <w:lang w:val="en-US"/>
        </w:rPr>
        <w:t xml:space="preserve"> </w:t>
      </w:r>
      <w:r w:rsidRPr="00A55CB5">
        <w:rPr>
          <w:bCs/>
          <w:lang w:val="en-US"/>
        </w:rPr>
        <w:t>The results indicate that both the SCWG and ATR processes are promising routes for hydrogen production, achieving over 50% of the total molar fraction of H</w:t>
      </w:r>
      <w:r w:rsidRPr="00A55CB5">
        <w:rPr>
          <w:rFonts w:ascii="Cambria Math" w:hAnsi="Cambria Math" w:cs="Cambria Math"/>
          <w:bCs/>
          <w:lang w:val="en-US"/>
        </w:rPr>
        <w:t>₂</w:t>
      </w:r>
      <w:r w:rsidRPr="00A55CB5">
        <w:rPr>
          <w:bCs/>
          <w:lang w:val="en-US"/>
        </w:rPr>
        <w:t xml:space="preserve"> (on a dry basis) at high operating temperatures. The analysis of operational effects and product formation suggested that distinct </w:t>
      </w:r>
      <w:r w:rsidRPr="00A55CB5">
        <w:rPr>
          <w:bCs/>
          <w:lang w:val="en-US"/>
        </w:rPr>
        <w:lastRenderedPageBreak/>
        <w:t>reaction pathways are followed in each of these thermochemical processes. Açaí seeds have thus emerged as a promising feedstock for energy production through thermochemical processing, with strong potential for clean and renewable energy generation, particularly in Brazil's açaí-producing regions.</w:t>
      </w:r>
    </w:p>
    <w:p w:rsidR="00280FAF" w:rsidRPr="00A55CB5" w:rsidRDefault="00280FAF" w:rsidP="0020529D">
      <w:pPr>
        <w:pStyle w:val="CETHeadingxx"/>
        <w:spacing w:before="240"/>
        <w:sectPr w:rsidR="00280FAF" w:rsidRPr="00A55CB5" w:rsidSect="00DC73EE">
          <w:type w:val="continuous"/>
          <w:pgSz w:w="11906" w:h="16838" w:code="9"/>
          <w:pgMar w:top="1701" w:right="1418" w:bottom="1701" w:left="1701" w:header="1701" w:footer="0" w:gutter="0"/>
          <w:cols w:space="708"/>
          <w:formProt w:val="0"/>
          <w:titlePg/>
          <w:docGrid w:linePitch="360"/>
        </w:sectPr>
      </w:pPr>
      <w:r w:rsidRPr="00A55CB5">
        <w:t>Nomenclature</w:t>
      </w:r>
    </w:p>
    <w:p w:rsidR="00B03A05" w:rsidRPr="00A55CB5" w:rsidRDefault="00EC2E2E" w:rsidP="00446E27">
      <w:pPr>
        <w:pStyle w:val="CETBodytext"/>
        <w:jc w:val="left"/>
        <w:rPr>
          <w:rFonts w:eastAsia="SimSun"/>
        </w:rPr>
      </w:pPr>
      <m:oMath>
        <m:sSub>
          <m:sSubPr>
            <m:ctrlPr>
              <w:rPr>
                <w:rFonts w:ascii="Cambria Math" w:eastAsia="SimSun" w:hAnsi="Cambria Math"/>
                <w:i/>
              </w:rPr>
            </m:ctrlPr>
          </m:sSubPr>
          <m:e>
            <m:acc>
              <m:accPr>
                <m:ctrlPr>
                  <w:rPr>
                    <w:rFonts w:ascii="Cambria Math" w:eastAsia="SimSun" w:hAnsi="Cambria Math"/>
                    <w:i/>
                  </w:rPr>
                </m:ctrlPr>
              </m:accPr>
              <m:e>
                <m:r>
                  <w:rPr>
                    <w:rFonts w:ascii="Cambria Math" w:eastAsia="SimSun" w:hAnsi="Cambria Math"/>
                  </w:rPr>
                  <m:t>ϕ</m:t>
                </m:r>
              </m:e>
            </m:acc>
          </m:e>
          <m:sub>
            <m:r>
              <w:rPr>
                <w:rFonts w:ascii="Cambria Math" w:eastAsia="SimSun" w:hAnsi="Cambria Math"/>
              </w:rPr>
              <m:t>i</m:t>
            </m:r>
          </m:sub>
        </m:sSub>
      </m:oMath>
      <w:r w:rsidR="00B03A05" w:rsidRPr="00A55CB5">
        <w:rPr>
          <w:rFonts w:eastAsia="SimSun"/>
        </w:rPr>
        <w:t xml:space="preserve"> – Fugacity coefficient of component </w:t>
      </w:r>
      <w:r w:rsidR="00B03A05" w:rsidRPr="00A55CB5">
        <w:rPr>
          <w:rFonts w:eastAsia="SimSun"/>
          <w:i/>
          <w:iCs/>
        </w:rPr>
        <w:t>i</w:t>
      </w:r>
      <w:r w:rsidR="00B03A05" w:rsidRPr="00A55CB5">
        <w:rPr>
          <w:rFonts w:eastAsia="SimSun"/>
        </w:rPr>
        <w:t xml:space="preserve"> in mixture</w:t>
      </w:r>
    </w:p>
    <w:p w:rsidR="00B03A05" w:rsidRPr="00A55CB5" w:rsidRDefault="00EC2E2E" w:rsidP="00446E27">
      <w:pPr>
        <w:pStyle w:val="CETBodytext"/>
        <w:jc w:val="left"/>
        <w:rPr>
          <w:rFonts w:eastAsia="SimSun"/>
          <w:szCs w:val="18"/>
        </w:rPr>
      </w:pPr>
      <m:oMath>
        <m:sSub>
          <m:sSubPr>
            <m:ctrlPr>
              <w:rPr>
                <w:rFonts w:ascii="Cambria Math" w:eastAsia="SimSun" w:hAnsi="Cambria Math"/>
                <w:i/>
              </w:rPr>
            </m:ctrlPr>
          </m:sSubPr>
          <m:e>
            <m:r>
              <w:rPr>
                <w:rFonts w:ascii="Cambria Math" w:eastAsia="SimSun" w:hAnsi="Cambria Math"/>
              </w:rPr>
              <m:t>a</m:t>
            </m:r>
          </m:e>
          <m:sub>
            <m:r>
              <w:rPr>
                <w:rFonts w:ascii="Cambria Math" w:eastAsia="SimSun" w:hAnsi="Cambria Math"/>
              </w:rPr>
              <m:t>mi</m:t>
            </m:r>
          </m:sub>
        </m:sSub>
      </m:oMath>
      <w:r w:rsidR="00B03A05" w:rsidRPr="00A55CB5">
        <w:rPr>
          <w:rFonts w:eastAsia="SimSun"/>
        </w:rPr>
        <w:t xml:space="preserve">– </w:t>
      </w:r>
      <w:r w:rsidR="00B03A05" w:rsidRPr="00A55CB5">
        <w:rPr>
          <w:rFonts w:eastAsia="SimSun"/>
          <w:szCs w:val="18"/>
        </w:rPr>
        <w:t xml:space="preserve">Number of atoms of </w:t>
      </w:r>
      <w:r w:rsidR="00B03A05" w:rsidRPr="00A55CB5">
        <w:rPr>
          <w:rFonts w:eastAsia="SimSun"/>
          <w:i/>
          <w:iCs/>
          <w:szCs w:val="18"/>
        </w:rPr>
        <w:t>i</w:t>
      </w:r>
      <w:r w:rsidR="00B03A05" w:rsidRPr="00A55CB5">
        <w:rPr>
          <w:rFonts w:eastAsia="SimSun"/>
          <w:szCs w:val="18"/>
        </w:rPr>
        <w:t xml:space="preserve"> in component </w:t>
      </w:r>
      <w:r w:rsidR="00B03A05" w:rsidRPr="00A55CB5">
        <w:rPr>
          <w:rFonts w:eastAsia="SimSun"/>
          <w:i/>
          <w:iCs/>
          <w:szCs w:val="18"/>
        </w:rPr>
        <w:t>m</w:t>
      </w:r>
      <w:r w:rsidR="00B03A05" w:rsidRPr="00A55CB5">
        <w:rPr>
          <w:rFonts w:eastAsia="SimSun"/>
          <w:szCs w:val="18"/>
        </w:rPr>
        <w:t xml:space="preserve"> </w:t>
      </w:r>
    </w:p>
    <w:p w:rsidR="00D14155" w:rsidRPr="00A55CB5" w:rsidRDefault="00646D09" w:rsidP="00D14155">
      <w:pPr>
        <w:pStyle w:val="CETBodytext"/>
        <w:jc w:val="left"/>
        <w:rPr>
          <w:rFonts w:eastAsia="SimSun"/>
        </w:rPr>
      </w:pPr>
      <m:oMath>
        <m:r>
          <w:rPr>
            <w:rFonts w:ascii="Cambria Math" w:eastAsia="SimSun" w:hAnsi="Cambria Math"/>
          </w:rPr>
          <m:t>B</m:t>
        </m:r>
      </m:oMath>
      <w:r w:rsidR="00D14155" w:rsidRPr="00A55CB5">
        <w:rPr>
          <w:rFonts w:eastAsia="SimSun"/>
        </w:rPr>
        <w:t xml:space="preserve"> – Second </w:t>
      </w:r>
      <w:r>
        <w:rPr>
          <w:rFonts w:eastAsia="SimSun"/>
        </w:rPr>
        <w:t xml:space="preserve">virial </w:t>
      </w:r>
      <w:r w:rsidR="00D14155" w:rsidRPr="00A55CB5">
        <w:rPr>
          <w:rFonts w:eastAsia="SimSun"/>
        </w:rPr>
        <w:t xml:space="preserve">coefficient </w:t>
      </w:r>
      <w:r>
        <w:rPr>
          <w:rFonts w:eastAsia="SimSun"/>
        </w:rPr>
        <w:t>for the mixture</w:t>
      </w:r>
    </w:p>
    <w:p w:rsidR="00D14155" w:rsidRPr="00A55CB5" w:rsidRDefault="00EC2E2E" w:rsidP="00D14155">
      <w:pPr>
        <w:pStyle w:val="CETBodytext"/>
        <w:jc w:val="left"/>
        <w:rPr>
          <w:rFonts w:eastAsia="SimSun"/>
        </w:rPr>
      </w:pPr>
      <m:oMath>
        <m:sSub>
          <m:sSubPr>
            <m:ctrlPr>
              <w:rPr>
                <w:rFonts w:ascii="Cambria Math" w:eastAsia="SimSun" w:hAnsi="Cambria Math"/>
                <w:i/>
                <w:iCs/>
              </w:rPr>
            </m:ctrlPr>
          </m:sSubPr>
          <m:e>
            <m:r>
              <w:rPr>
                <w:rFonts w:ascii="Cambria Math" w:eastAsia="SimSun" w:hAnsi="Cambria Math"/>
              </w:rPr>
              <m:t>B</m:t>
            </m:r>
          </m:e>
          <m:sub>
            <m:r>
              <w:rPr>
                <w:rFonts w:ascii="Cambria Math" w:eastAsia="SimSun" w:hAnsi="Cambria Math"/>
              </w:rPr>
              <m:t>ij</m:t>
            </m:r>
          </m:sub>
        </m:sSub>
      </m:oMath>
      <w:r w:rsidR="00D14155" w:rsidRPr="00A55CB5">
        <w:rPr>
          <w:rFonts w:eastAsia="SimSun"/>
          <w:i/>
          <w:iCs/>
        </w:rPr>
        <w:t xml:space="preserve"> </w:t>
      </w:r>
      <w:r w:rsidR="00D14155" w:rsidRPr="00A55CB5">
        <w:rPr>
          <w:rFonts w:eastAsia="SimSun"/>
        </w:rPr>
        <w:t xml:space="preserve">– Second </w:t>
      </w:r>
      <w:r w:rsidR="00646D09">
        <w:rPr>
          <w:rFonts w:eastAsia="SimSun"/>
        </w:rPr>
        <w:t xml:space="preserve">virial </w:t>
      </w:r>
      <w:r w:rsidR="00D14155" w:rsidRPr="00A55CB5">
        <w:rPr>
          <w:rFonts w:eastAsia="SimSun"/>
        </w:rPr>
        <w:t xml:space="preserve">coefficient for </w:t>
      </w:r>
      <w:r w:rsidR="00646D09">
        <w:rPr>
          <w:rFonts w:eastAsia="SimSun"/>
        </w:rPr>
        <w:t xml:space="preserve">the </w:t>
      </w:r>
      <m:oMath>
        <m:r>
          <w:rPr>
            <w:rFonts w:ascii="Cambria Math" w:eastAsia="SimSun" w:hAnsi="Cambria Math"/>
          </w:rPr>
          <m:t>ij</m:t>
        </m:r>
      </m:oMath>
      <w:r w:rsidR="00646D09">
        <w:rPr>
          <w:rFonts w:eastAsia="SimSun"/>
        </w:rPr>
        <w:t xml:space="preserve"> pair</w:t>
      </w:r>
    </w:p>
    <w:p w:rsidR="00D14155" w:rsidRPr="00A55CB5" w:rsidRDefault="00D14155" w:rsidP="00D14155">
      <w:pPr>
        <w:pStyle w:val="CETBodytext"/>
        <w:jc w:val="left"/>
        <w:rPr>
          <w:rFonts w:eastAsia="SimSun"/>
        </w:rPr>
      </w:pPr>
      <w:r w:rsidRPr="00A55CB5">
        <w:rPr>
          <w:rFonts w:eastAsia="SimSun"/>
          <w:i/>
          <w:iCs/>
        </w:rPr>
        <w:t xml:space="preserve">g </w:t>
      </w:r>
      <w:r w:rsidRPr="00A55CB5">
        <w:rPr>
          <w:rFonts w:eastAsia="SimSun"/>
        </w:rPr>
        <w:t>– Gas phase</w:t>
      </w:r>
    </w:p>
    <w:p w:rsidR="00D14155" w:rsidRPr="00A55CB5" w:rsidRDefault="00D14155" w:rsidP="00D14155">
      <w:pPr>
        <w:pStyle w:val="CETBodytext"/>
        <w:jc w:val="left"/>
        <w:rPr>
          <w:rFonts w:eastAsia="SimSun"/>
        </w:rPr>
      </w:pPr>
      <w:r w:rsidRPr="00A55CB5">
        <w:rPr>
          <w:rFonts w:eastAsia="SimSun"/>
        </w:rPr>
        <w:t>G – Gibbs energy</w:t>
      </w:r>
    </w:p>
    <w:p w:rsidR="00D14155" w:rsidRPr="00A55CB5" w:rsidRDefault="00D14155" w:rsidP="00446E27">
      <w:pPr>
        <w:pStyle w:val="CETBodytext"/>
        <w:jc w:val="left"/>
        <w:rPr>
          <w:rFonts w:eastAsia="SimSun"/>
          <w:i/>
          <w:iCs/>
        </w:rPr>
      </w:pPr>
      <w:r w:rsidRPr="00A55CB5">
        <w:rPr>
          <w:rFonts w:eastAsia="SimSun"/>
          <w:i/>
          <w:iCs/>
        </w:rPr>
        <w:t xml:space="preserve">l </w:t>
      </w:r>
      <w:r w:rsidRPr="00A55CB5">
        <w:rPr>
          <w:rFonts w:eastAsia="SimSun"/>
        </w:rPr>
        <w:t>– Liquid phase</w:t>
      </w:r>
    </w:p>
    <w:p w:rsidR="00B03A05" w:rsidRPr="00A55CB5" w:rsidRDefault="00EC2E2E" w:rsidP="00446E27">
      <w:pPr>
        <w:pStyle w:val="CETBodytext"/>
        <w:jc w:val="left"/>
        <w:rPr>
          <w:rFonts w:eastAsia="SimSun"/>
        </w:rPr>
      </w:pPr>
      <m:oMath>
        <m:sSup>
          <m:sSupPr>
            <m:ctrlPr>
              <w:rPr>
                <w:rFonts w:ascii="Cambria Math" w:eastAsia="SimSun" w:hAnsi="Cambria Math"/>
                <w:i/>
              </w:rPr>
            </m:ctrlPr>
          </m:sSupPr>
          <m:e>
            <m:r>
              <w:rPr>
                <w:rFonts w:ascii="Cambria Math" w:eastAsia="SimSun" w:hAnsi="Cambria Math"/>
              </w:rPr>
              <m:t>H</m:t>
            </m:r>
          </m:e>
          <m:sup>
            <m:r>
              <w:rPr>
                <w:rFonts w:ascii="Cambria Math" w:eastAsia="SimSun" w:hAnsi="Cambria Math"/>
              </w:rPr>
              <m:t>0</m:t>
            </m:r>
          </m:sup>
        </m:sSup>
      </m:oMath>
      <w:r w:rsidR="00B03A05" w:rsidRPr="00A55CB5">
        <w:rPr>
          <w:rFonts w:eastAsia="SimSun"/>
        </w:rPr>
        <w:t xml:space="preserve"> – Total initial enthalpy</w:t>
      </w:r>
    </w:p>
    <w:p w:rsidR="00B03A05" w:rsidRPr="00A55CB5" w:rsidRDefault="00EC2E2E" w:rsidP="00446E27">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i</m:t>
            </m:r>
          </m:sub>
          <m:sup>
            <m:r>
              <w:rPr>
                <w:rFonts w:ascii="Cambria Math" w:eastAsia="SimSun" w:hAnsi="Cambria Math"/>
              </w:rPr>
              <m:t>0</m:t>
            </m:r>
          </m:sup>
        </m:sSubSup>
      </m:oMath>
      <w:r w:rsidR="00B03A05" w:rsidRPr="00A55CB5">
        <w:rPr>
          <w:rFonts w:eastAsia="SimSun"/>
        </w:rPr>
        <w:t xml:space="preserve"> – Initial enthalpy of component </w:t>
      </w:r>
      <w:proofErr w:type="spellStart"/>
      <w:r w:rsidR="00B03A05" w:rsidRPr="00A55CB5">
        <w:rPr>
          <w:rFonts w:eastAsia="SimSun"/>
          <w:i/>
          <w:iCs/>
        </w:rPr>
        <w:t>i</w:t>
      </w:r>
      <w:proofErr w:type="spellEnd"/>
    </w:p>
    <w:p w:rsidR="004B3D6E" w:rsidRPr="00A55CB5" w:rsidRDefault="00EC2E2E" w:rsidP="00446E27">
      <w:pPr>
        <w:pStyle w:val="CETBodytext"/>
        <w:jc w:val="left"/>
        <w:rPr>
          <w:rFonts w:eastAsia="SimSun"/>
        </w:rPr>
      </w:pPr>
      <m:oMath>
        <m:sSubSup>
          <m:sSubSupPr>
            <m:ctrlPr>
              <w:rPr>
                <w:rFonts w:ascii="Cambria Math" w:eastAsia="SimSun" w:hAnsi="Cambria Math"/>
                <w:i/>
              </w:rPr>
            </m:ctrlPr>
          </m:sSubSupPr>
          <m:e>
            <m:r>
              <w:rPr>
                <w:rFonts w:ascii="Cambria Math" w:eastAsia="SimSun" w:hAnsi="Cambria Math"/>
              </w:rPr>
              <m:t>H</m:t>
            </m:r>
          </m:e>
          <m:sub>
            <m:r>
              <w:rPr>
                <w:rFonts w:ascii="Cambria Math" w:eastAsia="SimSun" w:hAnsi="Cambria Math"/>
              </w:rPr>
              <m:t>i</m:t>
            </m:r>
          </m:sub>
          <m:sup>
            <m:r>
              <w:rPr>
                <w:rFonts w:ascii="Cambria Math" w:eastAsia="SimSun" w:hAnsi="Cambria Math"/>
              </w:rPr>
              <m:t>k</m:t>
            </m:r>
          </m:sup>
        </m:sSubSup>
      </m:oMath>
      <w:r w:rsidR="004B3D6E" w:rsidRPr="00A55CB5">
        <w:rPr>
          <w:rFonts w:eastAsia="SimSun"/>
        </w:rPr>
        <w:t xml:space="preserve">– Enthalpy of component </w:t>
      </w:r>
      <w:proofErr w:type="spellStart"/>
      <w:r w:rsidR="004B3D6E" w:rsidRPr="00A55CB5">
        <w:rPr>
          <w:rFonts w:eastAsia="SimSun"/>
          <w:i/>
          <w:iCs/>
        </w:rPr>
        <w:t>i</w:t>
      </w:r>
      <w:proofErr w:type="spellEnd"/>
      <w:r w:rsidR="004B3D6E" w:rsidRPr="00A55CB5">
        <w:rPr>
          <w:rFonts w:eastAsia="SimSun"/>
        </w:rPr>
        <w:t xml:space="preserve"> in phase </w:t>
      </w:r>
      <w:r w:rsidR="004B3D6E" w:rsidRPr="00A55CB5">
        <w:rPr>
          <w:rFonts w:eastAsia="SimSun"/>
          <w:i/>
          <w:iCs/>
        </w:rPr>
        <w:t>k</w:t>
      </w:r>
    </w:p>
    <w:p w:rsidR="004B3D6E" w:rsidRPr="00A55CB5" w:rsidRDefault="004B3D6E" w:rsidP="004B3D6E">
      <w:pPr>
        <w:pStyle w:val="CETBodytext"/>
        <w:jc w:val="left"/>
        <w:rPr>
          <w:rFonts w:eastAsia="SimSun"/>
        </w:rPr>
      </w:pPr>
      <w:r w:rsidRPr="00A55CB5">
        <w:rPr>
          <w:rFonts w:eastAsia="SimSun"/>
          <w:i/>
          <w:iCs/>
        </w:rPr>
        <w:lastRenderedPageBreak/>
        <w:t>NC</w:t>
      </w:r>
      <w:r w:rsidRPr="00A55CB5">
        <w:rPr>
          <w:rFonts w:eastAsia="SimSun"/>
        </w:rPr>
        <w:t xml:space="preserve"> – Number of components</w:t>
      </w:r>
    </w:p>
    <w:p w:rsidR="004B3D6E" w:rsidRPr="00A55CB5" w:rsidRDefault="004B3D6E" w:rsidP="00446E27">
      <w:pPr>
        <w:pStyle w:val="CETBodytext"/>
        <w:jc w:val="left"/>
        <w:rPr>
          <w:rFonts w:eastAsia="SimSun"/>
        </w:rPr>
      </w:pPr>
      <w:r w:rsidRPr="00A55CB5">
        <w:rPr>
          <w:rFonts w:eastAsia="SimSun"/>
          <w:i/>
          <w:iCs/>
        </w:rPr>
        <w:t>NE</w:t>
      </w:r>
      <w:r w:rsidRPr="00A55CB5">
        <w:rPr>
          <w:rFonts w:eastAsia="SimSun"/>
        </w:rPr>
        <w:t xml:space="preserve"> – Number of elements</w:t>
      </w:r>
    </w:p>
    <w:p w:rsidR="00B03A05" w:rsidRPr="00A55CB5" w:rsidRDefault="00EC2E2E" w:rsidP="00446E27">
      <w:pPr>
        <w:pStyle w:val="CETBodytext"/>
        <w:jc w:val="left"/>
        <w:rPr>
          <w:rFonts w:eastAsia="SimSun"/>
        </w:rPr>
      </w:pP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i</m:t>
            </m:r>
          </m:sub>
          <m:sup>
            <m:r>
              <w:rPr>
                <w:rFonts w:ascii="Cambria Math" w:eastAsia="SimSun" w:hAnsi="Cambria Math"/>
              </w:rPr>
              <m:t>0</m:t>
            </m:r>
          </m:sup>
        </m:sSubSup>
        <m:r>
          <m:rPr>
            <m:sty m:val="p"/>
          </m:rPr>
          <w:rPr>
            <w:rFonts w:ascii="Cambria Math" w:eastAsia="SimSun" w:hAnsi="Cambria Math"/>
          </w:rPr>
          <m:t xml:space="preserve"> –</m:t>
        </m:r>
        <m:r>
          <w:rPr>
            <w:rFonts w:ascii="Cambria Math" w:eastAsia="SimSun" w:hAnsi="Cambria Math"/>
          </w:rPr>
          <m:t xml:space="preserve"> </m:t>
        </m:r>
      </m:oMath>
      <w:r w:rsidR="00B03A05" w:rsidRPr="00A55CB5">
        <w:rPr>
          <w:rFonts w:eastAsia="SimSun"/>
        </w:rPr>
        <w:t xml:space="preserve">Initial number of moles </w:t>
      </w:r>
    </w:p>
    <w:p w:rsidR="00B03A05" w:rsidRPr="00A55CB5" w:rsidRDefault="00EC2E2E" w:rsidP="00446E27">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n</m:t>
            </m:r>
          </m:e>
          <m:sub>
            <m:r>
              <w:rPr>
                <w:rFonts w:ascii="Cambria Math" w:eastAsia="SimSun" w:hAnsi="Cambria Math"/>
              </w:rPr>
              <m:t>i</m:t>
            </m:r>
          </m:sub>
          <m:sup>
            <m:r>
              <w:rPr>
                <w:rFonts w:ascii="Cambria Math" w:eastAsia="SimSun" w:hAnsi="Cambria Math"/>
              </w:rPr>
              <m:t>k</m:t>
            </m:r>
          </m:sup>
        </m:sSubSup>
      </m:oMath>
      <w:r w:rsidR="00B03A05" w:rsidRPr="00A55CB5">
        <w:rPr>
          <w:rFonts w:eastAsia="SimSun"/>
        </w:rPr>
        <w:t xml:space="preserve"> – Number of moles of component </w:t>
      </w:r>
      <w:proofErr w:type="spellStart"/>
      <w:r w:rsidR="00B03A05" w:rsidRPr="00A55CB5">
        <w:rPr>
          <w:rFonts w:eastAsia="SimSun"/>
          <w:i/>
          <w:iCs/>
        </w:rPr>
        <w:t>i</w:t>
      </w:r>
      <w:proofErr w:type="spellEnd"/>
      <w:r w:rsidR="00B03A05" w:rsidRPr="00A55CB5">
        <w:rPr>
          <w:rFonts w:eastAsia="SimSun"/>
        </w:rPr>
        <w:t xml:space="preserve"> in phase </w:t>
      </w:r>
      <w:r w:rsidR="00B03A05" w:rsidRPr="00A55CB5">
        <w:rPr>
          <w:rFonts w:eastAsia="SimSun"/>
          <w:i/>
          <w:iCs/>
        </w:rPr>
        <w:t>k</w:t>
      </w:r>
    </w:p>
    <w:p w:rsidR="00B03A05" w:rsidRPr="00A55CB5" w:rsidRDefault="00EC2E2E" w:rsidP="00446E27">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S</m:t>
            </m:r>
          </m:e>
          <m:sub>
            <m:r>
              <w:rPr>
                <w:rFonts w:ascii="Cambria Math" w:eastAsia="SimSun" w:hAnsi="Cambria Math"/>
              </w:rPr>
              <m:t>i</m:t>
            </m:r>
          </m:sub>
          <m:sup>
            <m:r>
              <w:rPr>
                <w:rFonts w:ascii="Cambria Math" w:eastAsia="SimSun" w:hAnsi="Cambria Math"/>
              </w:rPr>
              <m:t>k</m:t>
            </m:r>
          </m:sup>
        </m:sSubSup>
      </m:oMath>
      <w:r w:rsidR="00B03A05" w:rsidRPr="00A55CB5">
        <w:rPr>
          <w:rFonts w:eastAsia="SimSun"/>
        </w:rPr>
        <w:t xml:space="preserve">– Entropy of component </w:t>
      </w:r>
      <w:proofErr w:type="spellStart"/>
      <w:r w:rsidR="00B03A05" w:rsidRPr="00A55CB5">
        <w:rPr>
          <w:rFonts w:eastAsia="SimSun"/>
          <w:i/>
          <w:iCs/>
        </w:rPr>
        <w:t>i</w:t>
      </w:r>
      <w:proofErr w:type="spellEnd"/>
      <w:r w:rsidR="00B03A05" w:rsidRPr="00A55CB5">
        <w:rPr>
          <w:rFonts w:eastAsia="SimSun"/>
        </w:rPr>
        <w:t xml:space="preserve"> in phase </w:t>
      </w:r>
      <w:r w:rsidR="00B03A05" w:rsidRPr="00A55CB5">
        <w:rPr>
          <w:rFonts w:eastAsia="SimSun"/>
          <w:i/>
          <w:iCs/>
        </w:rPr>
        <w:t>k</w:t>
      </w:r>
    </w:p>
    <w:p w:rsidR="00D14155" w:rsidRPr="00A55CB5" w:rsidRDefault="00EC2E2E" w:rsidP="00446E27">
      <w:pPr>
        <w:pStyle w:val="CETBodytext"/>
        <w:jc w:val="left"/>
        <w:rPr>
          <w:rFonts w:eastAsia="SimSun"/>
        </w:rPr>
      </w:pPr>
      <m:oMath>
        <m:sSub>
          <m:sSubPr>
            <m:ctrlPr>
              <w:rPr>
                <w:rFonts w:ascii="Cambria Math" w:eastAsia="SimSun" w:hAnsi="Cambria Math"/>
                <w:i/>
              </w:rPr>
            </m:ctrlPr>
          </m:sSubPr>
          <m:e>
            <m:r>
              <w:rPr>
                <w:rFonts w:ascii="Cambria Math" w:eastAsia="SimSun" w:hAnsi="Cambria Math"/>
              </w:rPr>
              <m:t>y</m:t>
            </m:r>
          </m:e>
          <m:sub>
            <m:r>
              <w:rPr>
                <w:rFonts w:ascii="Cambria Math" w:eastAsia="SimSun" w:hAnsi="Cambria Math"/>
              </w:rPr>
              <m:t>i</m:t>
            </m:r>
          </m:sub>
        </m:sSub>
      </m:oMath>
      <w:r w:rsidR="00B03A05" w:rsidRPr="00A55CB5">
        <w:rPr>
          <w:rFonts w:eastAsia="SimSun"/>
        </w:rPr>
        <w:t xml:space="preserve"> – Molar fraction of gas phase</w:t>
      </w:r>
    </w:p>
    <w:p w:rsidR="00D14155" w:rsidRPr="00A55CB5" w:rsidRDefault="00D14155" w:rsidP="00D14155">
      <w:pPr>
        <w:pStyle w:val="CETBodytext"/>
        <w:jc w:val="left"/>
        <w:rPr>
          <w:rFonts w:eastAsia="SimSun"/>
        </w:rPr>
      </w:pPr>
      <w:r w:rsidRPr="00A55CB5">
        <w:rPr>
          <w:rFonts w:eastAsia="SimSun"/>
          <w:i/>
          <w:iCs/>
        </w:rPr>
        <w:t>P</w:t>
      </w:r>
      <w:r w:rsidRPr="00A55CB5">
        <w:rPr>
          <w:rFonts w:eastAsia="SimSun"/>
        </w:rPr>
        <w:t xml:space="preserve"> – Pressure</w:t>
      </w:r>
    </w:p>
    <w:p w:rsidR="00D14155" w:rsidRPr="00A55CB5" w:rsidRDefault="00D14155" w:rsidP="00D14155">
      <w:pPr>
        <w:pStyle w:val="CETBodytext"/>
        <w:jc w:val="left"/>
        <w:rPr>
          <w:rFonts w:eastAsia="SimSun"/>
        </w:rPr>
      </w:pPr>
      <w:r w:rsidRPr="00A55CB5">
        <w:rPr>
          <w:rFonts w:eastAsia="SimSun"/>
          <w:i/>
          <w:iCs/>
        </w:rPr>
        <w:t>R</w:t>
      </w:r>
      <w:r w:rsidR="00E33643" w:rsidRPr="00A55CB5">
        <w:rPr>
          <w:rFonts w:eastAsia="SimSun"/>
          <w:i/>
          <w:iCs/>
        </w:rPr>
        <w:t xml:space="preserve"> </w:t>
      </w:r>
      <w:r w:rsidRPr="00A55CB5">
        <w:rPr>
          <w:rFonts w:eastAsia="SimSun"/>
        </w:rPr>
        <w:t>– Universal gas Constant</w:t>
      </w:r>
    </w:p>
    <w:p w:rsidR="00D14155" w:rsidRPr="00A55CB5" w:rsidRDefault="00D14155" w:rsidP="00D14155">
      <w:pPr>
        <w:pStyle w:val="CETBodytext"/>
        <w:jc w:val="left"/>
        <w:rPr>
          <w:rFonts w:eastAsia="SimSun"/>
        </w:rPr>
      </w:pPr>
      <w:r w:rsidRPr="00A55CB5">
        <w:rPr>
          <w:rFonts w:eastAsia="SimSun"/>
          <w:i/>
          <w:iCs/>
        </w:rPr>
        <w:t>s</w:t>
      </w:r>
      <w:r w:rsidRPr="00A55CB5">
        <w:rPr>
          <w:rFonts w:eastAsia="SimSun"/>
        </w:rPr>
        <w:t xml:space="preserve"> – Solid phase</w:t>
      </w:r>
    </w:p>
    <w:p w:rsidR="00D14155" w:rsidRPr="00A55CB5" w:rsidRDefault="00D14155" w:rsidP="00D14155">
      <w:pPr>
        <w:pStyle w:val="CETBodytext"/>
        <w:jc w:val="left"/>
        <w:rPr>
          <w:rFonts w:eastAsia="SimSun"/>
        </w:rPr>
      </w:pPr>
      <w:r w:rsidRPr="00A55CB5">
        <w:rPr>
          <w:rFonts w:eastAsia="SimSun" w:cs="Arial"/>
          <w:i/>
          <w:iCs/>
        </w:rPr>
        <w:t>T</w:t>
      </w:r>
      <w:r w:rsidRPr="00A55CB5">
        <w:rPr>
          <w:rFonts w:eastAsia="SimSun"/>
        </w:rPr>
        <w:t xml:space="preserve"> – Temperature</w:t>
      </w:r>
    </w:p>
    <w:p w:rsidR="00D14155" w:rsidRPr="00A55CB5" w:rsidRDefault="00D14155" w:rsidP="00446E27">
      <w:pPr>
        <w:pStyle w:val="CETBodytext"/>
        <w:jc w:val="left"/>
        <w:rPr>
          <w:rFonts w:eastAsia="SimSun"/>
        </w:rPr>
        <w:sectPr w:rsidR="00D14155" w:rsidRPr="00A55CB5" w:rsidSect="00B03A05">
          <w:type w:val="continuous"/>
          <w:pgSz w:w="11906" w:h="16838" w:code="9"/>
          <w:pgMar w:top="1701" w:right="1418" w:bottom="1701" w:left="1701" w:header="1701" w:footer="0" w:gutter="0"/>
          <w:cols w:num="2" w:space="708"/>
          <w:formProt w:val="0"/>
          <w:titlePg/>
          <w:docGrid w:linePitch="360"/>
        </w:sectPr>
      </w:pPr>
    </w:p>
    <w:p w:rsidR="00B03A05" w:rsidRPr="00A55CB5" w:rsidRDefault="00EC2E2E" w:rsidP="00446E27">
      <w:pPr>
        <w:pStyle w:val="CETBodytext"/>
        <w:jc w:val="left"/>
        <w:rPr>
          <w:rFonts w:eastAsia="SimSun"/>
          <w:i/>
          <w:iCs/>
        </w:rPr>
      </w:pPr>
      <m:oMath>
        <m:sSubSup>
          <m:sSubSupPr>
            <m:ctrlPr>
              <w:rPr>
                <w:rFonts w:ascii="Cambria Math" w:eastAsia="SimSun" w:hAnsi="Cambria Math"/>
                <w:i/>
              </w:rPr>
            </m:ctrlPr>
          </m:sSubSupPr>
          <m:e>
            <m:r>
              <w:rPr>
                <w:rFonts w:ascii="Cambria Math" w:eastAsia="SimSun" w:hAnsi="Cambria Math"/>
              </w:rPr>
              <m:t>μ</m:t>
            </m:r>
          </m:e>
          <m:sub>
            <m:r>
              <w:rPr>
                <w:rFonts w:ascii="Cambria Math" w:eastAsia="SimSun" w:hAnsi="Cambria Math"/>
              </w:rPr>
              <m:t>i</m:t>
            </m:r>
          </m:sub>
          <m:sup>
            <m:r>
              <w:rPr>
                <w:rFonts w:ascii="Cambria Math" w:eastAsia="SimSun" w:hAnsi="Cambria Math"/>
              </w:rPr>
              <m:t>k</m:t>
            </m:r>
          </m:sup>
        </m:sSubSup>
      </m:oMath>
      <w:r w:rsidR="00B03A05" w:rsidRPr="00A55CB5">
        <w:rPr>
          <w:rFonts w:eastAsia="SimSun"/>
        </w:rPr>
        <w:t xml:space="preserve"> – Chemical potential of component </w:t>
      </w:r>
      <w:proofErr w:type="spellStart"/>
      <w:r w:rsidR="00B03A05" w:rsidRPr="00A55CB5">
        <w:rPr>
          <w:rFonts w:eastAsia="SimSun"/>
          <w:i/>
          <w:iCs/>
        </w:rPr>
        <w:t>i</w:t>
      </w:r>
      <w:proofErr w:type="spellEnd"/>
      <w:r w:rsidR="00B03A05" w:rsidRPr="00A55CB5">
        <w:rPr>
          <w:rFonts w:eastAsia="SimSun"/>
        </w:rPr>
        <w:t xml:space="preserve"> in phase </w:t>
      </w:r>
      <w:r w:rsidR="00B03A05" w:rsidRPr="00A55CB5">
        <w:rPr>
          <w:rFonts w:eastAsia="SimSun"/>
          <w:i/>
          <w:iCs/>
        </w:rPr>
        <w:t>k</w:t>
      </w:r>
    </w:p>
    <w:p w:rsidR="00280FAF" w:rsidRPr="00A55CB5" w:rsidRDefault="00280FAF" w:rsidP="00280FAF">
      <w:pPr>
        <w:pStyle w:val="CETBodytext"/>
        <w:jc w:val="left"/>
        <w:rPr>
          <w:rFonts w:eastAsia="SimSun"/>
        </w:rPr>
      </w:pPr>
    </w:p>
    <w:p w:rsidR="00D14155" w:rsidRPr="00A55CB5" w:rsidRDefault="00D14155" w:rsidP="00280FAF">
      <w:pPr>
        <w:pStyle w:val="CETBodytext"/>
        <w:jc w:val="left"/>
        <w:rPr>
          <w:rFonts w:eastAsia="SimSun"/>
        </w:rPr>
        <w:sectPr w:rsidR="00D14155" w:rsidRPr="00A55CB5" w:rsidSect="00DC73EE">
          <w:type w:val="continuous"/>
          <w:pgSz w:w="11906" w:h="16838" w:code="9"/>
          <w:pgMar w:top="1701" w:right="1418" w:bottom="1701" w:left="1701" w:header="1701" w:footer="0" w:gutter="0"/>
          <w:cols w:num="2" w:space="708"/>
          <w:formProt w:val="0"/>
          <w:titlePg/>
          <w:docGrid w:linePitch="360"/>
        </w:sectPr>
      </w:pPr>
    </w:p>
    <w:p w:rsidR="00600535" w:rsidRPr="00A55CB5" w:rsidRDefault="00600535" w:rsidP="00600535">
      <w:pPr>
        <w:pStyle w:val="CETAcknowledgementstitle"/>
        <w:rPr>
          <w:lang w:val="en-US"/>
        </w:rPr>
      </w:pPr>
      <w:r w:rsidRPr="00A55CB5">
        <w:rPr>
          <w:lang w:val="en-US"/>
        </w:rPr>
        <w:lastRenderedPageBreak/>
        <w:t>Acknowledgments</w:t>
      </w:r>
    </w:p>
    <w:p w:rsidR="00446E27" w:rsidRPr="00A55CB5" w:rsidRDefault="00446E27" w:rsidP="00446E27">
      <w:pPr>
        <w:widowControl w:val="0"/>
        <w:autoSpaceDE w:val="0"/>
        <w:autoSpaceDN w:val="0"/>
        <w:adjustRightInd w:val="0"/>
        <w:rPr>
          <w:bCs/>
          <w:lang w:val="en-US"/>
        </w:rPr>
      </w:pPr>
      <w:r w:rsidRPr="00A55CB5">
        <w:rPr>
          <w:bCs/>
          <w:lang w:val="en-US"/>
        </w:rPr>
        <w:t>We are grateful for the financial support from the National Agency of Petroleum, Natural Gas and Biofuels (ANP) through the ANP Human Resources Training Program for the Oil and Gas Sector (PRH 54.1 - UFMA)</w:t>
      </w:r>
      <w:r w:rsidR="001516DE" w:rsidRPr="00A55CB5">
        <w:rPr>
          <w:bCs/>
          <w:lang w:val="en-US"/>
        </w:rPr>
        <w:t xml:space="preserve">, </w:t>
      </w:r>
      <w:proofErr w:type="spellStart"/>
      <w:r w:rsidR="001516DE" w:rsidRPr="00A55CB5">
        <w:rPr>
          <w:bCs/>
          <w:lang w:val="en-US"/>
        </w:rPr>
        <w:t>CNPq</w:t>
      </w:r>
      <w:proofErr w:type="spellEnd"/>
      <w:r w:rsidR="00CF1E45" w:rsidRPr="00A55CB5">
        <w:rPr>
          <w:bCs/>
          <w:lang w:val="en-US"/>
        </w:rPr>
        <w:t xml:space="preserve"> </w:t>
      </w:r>
      <w:r w:rsidR="001516DE" w:rsidRPr="00A55CB5">
        <w:rPr>
          <w:bCs/>
          <w:lang w:val="en-US"/>
        </w:rPr>
        <w:t>(</w:t>
      </w:r>
      <w:proofErr w:type="spellStart"/>
      <w:r w:rsidR="001516DE" w:rsidRPr="00A55CB5">
        <w:rPr>
          <w:bCs/>
          <w:lang w:val="en-US"/>
        </w:rPr>
        <w:t>Conselho</w:t>
      </w:r>
      <w:proofErr w:type="spellEnd"/>
      <w:r w:rsidR="001516DE" w:rsidRPr="00A55CB5">
        <w:rPr>
          <w:bCs/>
          <w:lang w:val="en-US"/>
        </w:rPr>
        <w:t xml:space="preserve"> </w:t>
      </w:r>
      <w:proofErr w:type="spellStart"/>
      <w:r w:rsidR="001516DE" w:rsidRPr="00A55CB5">
        <w:rPr>
          <w:bCs/>
          <w:lang w:val="en-US"/>
        </w:rPr>
        <w:t>Nacional</w:t>
      </w:r>
      <w:proofErr w:type="spellEnd"/>
      <w:r w:rsidR="001516DE" w:rsidRPr="00A55CB5">
        <w:rPr>
          <w:bCs/>
          <w:lang w:val="en-US"/>
        </w:rPr>
        <w:t xml:space="preserve"> de </w:t>
      </w:r>
      <w:proofErr w:type="spellStart"/>
      <w:r w:rsidR="001516DE" w:rsidRPr="00A55CB5">
        <w:rPr>
          <w:bCs/>
          <w:lang w:val="en-US"/>
        </w:rPr>
        <w:t>Desenvolvimento</w:t>
      </w:r>
      <w:proofErr w:type="spellEnd"/>
      <w:r w:rsidR="001516DE" w:rsidRPr="00A55CB5">
        <w:rPr>
          <w:bCs/>
          <w:lang w:val="en-US"/>
        </w:rPr>
        <w:t xml:space="preserve"> </w:t>
      </w:r>
      <w:proofErr w:type="spellStart"/>
      <w:r w:rsidR="001516DE" w:rsidRPr="00A55CB5">
        <w:rPr>
          <w:bCs/>
          <w:lang w:val="en-US"/>
        </w:rPr>
        <w:t>Científico</w:t>
      </w:r>
      <w:proofErr w:type="spellEnd"/>
      <w:r w:rsidR="001516DE" w:rsidRPr="00A55CB5">
        <w:rPr>
          <w:bCs/>
          <w:lang w:val="en-US"/>
        </w:rPr>
        <w:t xml:space="preserve"> e </w:t>
      </w:r>
      <w:proofErr w:type="spellStart"/>
      <w:r w:rsidR="001516DE" w:rsidRPr="00A55CB5">
        <w:rPr>
          <w:bCs/>
          <w:lang w:val="en-US"/>
        </w:rPr>
        <w:t>Tecnológico</w:t>
      </w:r>
      <w:proofErr w:type="spellEnd"/>
      <w:r w:rsidR="001516DE" w:rsidRPr="00A55CB5">
        <w:rPr>
          <w:bCs/>
          <w:lang w:val="en-US"/>
        </w:rPr>
        <w:t xml:space="preserve">) </w:t>
      </w:r>
      <w:r w:rsidR="00CF1E45" w:rsidRPr="00A55CB5">
        <w:rPr>
          <w:bCs/>
          <w:lang w:val="en-US"/>
        </w:rPr>
        <w:t>and FAPEMA (</w:t>
      </w:r>
      <w:proofErr w:type="spellStart"/>
      <w:r w:rsidR="00CF1E45" w:rsidRPr="00A55CB5">
        <w:rPr>
          <w:bCs/>
          <w:lang w:val="en-US"/>
        </w:rPr>
        <w:t>Fundação</w:t>
      </w:r>
      <w:proofErr w:type="spellEnd"/>
      <w:r w:rsidR="00CF1E45" w:rsidRPr="00A55CB5">
        <w:rPr>
          <w:bCs/>
          <w:lang w:val="en-US"/>
        </w:rPr>
        <w:t xml:space="preserve"> de </w:t>
      </w:r>
      <w:proofErr w:type="spellStart"/>
      <w:r w:rsidR="00CF1E45" w:rsidRPr="00A55CB5">
        <w:rPr>
          <w:bCs/>
          <w:lang w:val="en-US"/>
        </w:rPr>
        <w:t>Amparo</w:t>
      </w:r>
      <w:proofErr w:type="spellEnd"/>
      <w:r w:rsidR="00CF1E45" w:rsidRPr="00A55CB5">
        <w:rPr>
          <w:bCs/>
          <w:lang w:val="en-US"/>
        </w:rPr>
        <w:t xml:space="preserve"> a </w:t>
      </w:r>
      <w:proofErr w:type="spellStart"/>
      <w:r w:rsidR="00CF1E45" w:rsidRPr="00A55CB5">
        <w:rPr>
          <w:bCs/>
          <w:lang w:val="en-US"/>
        </w:rPr>
        <w:t>Pesquisa</w:t>
      </w:r>
      <w:proofErr w:type="spellEnd"/>
      <w:r w:rsidR="00CF1E45" w:rsidRPr="00A55CB5">
        <w:rPr>
          <w:bCs/>
          <w:lang w:val="en-US"/>
        </w:rPr>
        <w:t xml:space="preserve"> e </w:t>
      </w:r>
      <w:proofErr w:type="spellStart"/>
      <w:r w:rsidR="00CF1E45" w:rsidRPr="00A55CB5">
        <w:rPr>
          <w:bCs/>
          <w:lang w:val="en-US"/>
        </w:rPr>
        <w:t>ao</w:t>
      </w:r>
      <w:proofErr w:type="spellEnd"/>
      <w:r w:rsidR="00CF1E45" w:rsidRPr="00A55CB5">
        <w:rPr>
          <w:bCs/>
          <w:lang w:val="en-US"/>
        </w:rPr>
        <w:t xml:space="preserve"> </w:t>
      </w:r>
      <w:proofErr w:type="spellStart"/>
      <w:r w:rsidR="00CF1E45" w:rsidRPr="00A55CB5">
        <w:rPr>
          <w:bCs/>
          <w:lang w:val="en-US"/>
        </w:rPr>
        <w:t>Desenvolvimento</w:t>
      </w:r>
      <w:proofErr w:type="spellEnd"/>
      <w:r w:rsidR="00CF1E45" w:rsidRPr="00A55CB5">
        <w:rPr>
          <w:bCs/>
          <w:lang w:val="en-US"/>
        </w:rPr>
        <w:t xml:space="preserve"> </w:t>
      </w:r>
      <w:proofErr w:type="spellStart"/>
      <w:r w:rsidR="00CF1E45" w:rsidRPr="00A55CB5">
        <w:rPr>
          <w:bCs/>
          <w:lang w:val="en-US"/>
        </w:rPr>
        <w:t>Científico</w:t>
      </w:r>
      <w:proofErr w:type="spellEnd"/>
      <w:r w:rsidR="00CF1E45" w:rsidRPr="00A55CB5">
        <w:rPr>
          <w:bCs/>
          <w:lang w:val="en-US"/>
        </w:rPr>
        <w:t xml:space="preserve"> e </w:t>
      </w:r>
      <w:proofErr w:type="spellStart"/>
      <w:r w:rsidR="00CF1E45" w:rsidRPr="00A55CB5">
        <w:rPr>
          <w:bCs/>
          <w:lang w:val="en-US"/>
        </w:rPr>
        <w:t>Tecnológico</w:t>
      </w:r>
      <w:proofErr w:type="spellEnd"/>
      <w:r w:rsidR="00CF1E45" w:rsidRPr="00A55CB5">
        <w:rPr>
          <w:bCs/>
          <w:lang w:val="en-US"/>
        </w:rPr>
        <w:t xml:space="preserve"> do </w:t>
      </w:r>
      <w:proofErr w:type="spellStart"/>
      <w:r w:rsidR="00CF1E45" w:rsidRPr="00A55CB5">
        <w:rPr>
          <w:bCs/>
          <w:lang w:val="en-US"/>
        </w:rPr>
        <w:t>Maranhão</w:t>
      </w:r>
      <w:proofErr w:type="spellEnd"/>
      <w:r w:rsidR="00CF1E45" w:rsidRPr="00A55CB5">
        <w:rPr>
          <w:bCs/>
          <w:lang w:val="en-US"/>
        </w:rPr>
        <w:t>)</w:t>
      </w:r>
      <w:r w:rsidRPr="00A55CB5">
        <w:rPr>
          <w:bCs/>
          <w:lang w:val="en-US"/>
        </w:rPr>
        <w:t>.</w:t>
      </w:r>
    </w:p>
    <w:p w:rsidR="00600535" w:rsidRPr="00A55CB5" w:rsidRDefault="00600535" w:rsidP="00600535">
      <w:pPr>
        <w:pStyle w:val="CETReference"/>
        <w:rPr>
          <w:lang w:val="en-US"/>
        </w:rPr>
      </w:pPr>
      <w:r w:rsidRPr="00A55CB5">
        <w:rPr>
          <w:lang w:val="en-US"/>
        </w:rPr>
        <w:t>References</w:t>
      </w:r>
    </w:p>
    <w:p w:rsidR="00D411F7" w:rsidRPr="00A55CB5" w:rsidRDefault="00D411F7" w:rsidP="000311DB">
      <w:pPr>
        <w:pStyle w:val="CETReferencetext"/>
        <w:rPr>
          <w:rFonts w:cs="Arial"/>
          <w:szCs w:val="18"/>
          <w:lang w:val="en-US"/>
        </w:rPr>
      </w:pPr>
      <w:proofErr w:type="spellStart"/>
      <w:r w:rsidRPr="00A55CB5">
        <w:rPr>
          <w:rFonts w:cs="Arial"/>
          <w:szCs w:val="18"/>
          <w:lang w:val="en-US"/>
        </w:rPr>
        <w:t>Brito</w:t>
      </w:r>
      <w:proofErr w:type="spellEnd"/>
      <w:r w:rsidRPr="00A55CB5">
        <w:rPr>
          <w:rFonts w:cs="Arial"/>
          <w:szCs w:val="18"/>
          <w:lang w:val="en-US"/>
        </w:rPr>
        <w:t xml:space="preserve"> J., Pinto F., Ferreira A., </w:t>
      </w:r>
      <w:proofErr w:type="spellStart"/>
      <w:r w:rsidRPr="00A55CB5">
        <w:rPr>
          <w:rFonts w:cs="Arial"/>
          <w:szCs w:val="18"/>
          <w:lang w:val="en-US"/>
        </w:rPr>
        <w:t>Soria</w:t>
      </w:r>
      <w:proofErr w:type="spellEnd"/>
      <w:r w:rsidRPr="00A55CB5">
        <w:rPr>
          <w:rFonts w:cs="Arial"/>
          <w:szCs w:val="18"/>
          <w:lang w:val="en-US"/>
        </w:rPr>
        <w:t xml:space="preserve"> M.A., Madeira L.M., 2023, Steam reforming of biomass gasification gas for hydrogen production: From thermodynamic analysis to experimental validation, Fuel Processing Technology, 250, 107859.</w:t>
      </w:r>
    </w:p>
    <w:p w:rsidR="00D411F7" w:rsidRPr="00A55CB5" w:rsidRDefault="00D411F7" w:rsidP="00D70F78">
      <w:pPr>
        <w:pStyle w:val="CETReferencetext"/>
        <w:rPr>
          <w:rFonts w:cs="Arial"/>
          <w:szCs w:val="18"/>
          <w:lang w:val="en-US"/>
        </w:rPr>
      </w:pPr>
      <w:r w:rsidRPr="00A55CB5">
        <w:rPr>
          <w:rFonts w:cs="Arial"/>
          <w:szCs w:val="18"/>
          <w:lang w:val="en-US"/>
        </w:rPr>
        <w:t>Chen W.H., Chen C.Y., 2020, Water gas shift reaction for hydrogen production and carbon dioxide capture: A review, Applied Energy, 258, 114078.</w:t>
      </w:r>
    </w:p>
    <w:p w:rsidR="00D411F7" w:rsidRPr="00A55CB5" w:rsidRDefault="00D411F7" w:rsidP="00A71F99">
      <w:pPr>
        <w:pStyle w:val="CETReferencetext"/>
        <w:rPr>
          <w:rFonts w:cs="Arial"/>
          <w:szCs w:val="18"/>
          <w:lang w:val="en-US"/>
        </w:rPr>
      </w:pPr>
      <w:proofErr w:type="spellStart"/>
      <w:r w:rsidRPr="00A55CB5">
        <w:rPr>
          <w:rFonts w:cs="Arial"/>
          <w:szCs w:val="18"/>
          <w:lang w:val="en-US"/>
        </w:rPr>
        <w:t>Freitas</w:t>
      </w:r>
      <w:proofErr w:type="spellEnd"/>
      <w:r w:rsidRPr="00A55CB5">
        <w:rPr>
          <w:rFonts w:cs="Arial"/>
          <w:szCs w:val="18"/>
          <w:lang w:val="en-US"/>
        </w:rPr>
        <w:t xml:space="preserve"> A.C.D., Guirardello R., 2014, Comparison of several glycerol reforming methods for hydrogen and syngas production using Gibbs energy minimization, International Journal of Hydrogen Energy, 39, 17969-17984.</w:t>
      </w:r>
    </w:p>
    <w:p w:rsidR="00D411F7" w:rsidRPr="00A55CB5" w:rsidRDefault="00D411F7" w:rsidP="00D70F78">
      <w:pPr>
        <w:pStyle w:val="CETReferencetext"/>
        <w:rPr>
          <w:rFonts w:cs="Arial"/>
          <w:szCs w:val="18"/>
          <w:lang w:val="en-US"/>
        </w:rPr>
      </w:pPr>
      <w:r w:rsidRPr="00A55CB5">
        <w:rPr>
          <w:rFonts w:cs="Arial"/>
          <w:szCs w:val="18"/>
          <w:lang w:val="en-US"/>
        </w:rPr>
        <w:t xml:space="preserve">Gomes J. G., </w:t>
      </w:r>
      <w:proofErr w:type="spellStart"/>
      <w:r w:rsidRPr="00A55CB5">
        <w:rPr>
          <w:rFonts w:cs="Arial"/>
          <w:szCs w:val="18"/>
          <w:lang w:val="en-US"/>
        </w:rPr>
        <w:t>Mitoura</w:t>
      </w:r>
      <w:proofErr w:type="spellEnd"/>
      <w:r w:rsidRPr="00A55CB5">
        <w:rPr>
          <w:rFonts w:cs="Arial"/>
          <w:szCs w:val="18"/>
          <w:lang w:val="en-US"/>
        </w:rPr>
        <w:t xml:space="preserve"> J., </w:t>
      </w:r>
      <w:proofErr w:type="spellStart"/>
      <w:r w:rsidRPr="00A55CB5">
        <w:rPr>
          <w:rFonts w:cs="Arial"/>
          <w:szCs w:val="18"/>
          <w:lang w:val="en-US"/>
        </w:rPr>
        <w:t>Vidotti</w:t>
      </w:r>
      <w:proofErr w:type="spellEnd"/>
      <w:r w:rsidRPr="00A55CB5">
        <w:rPr>
          <w:rFonts w:cs="Arial"/>
          <w:szCs w:val="18"/>
          <w:lang w:val="en-US"/>
        </w:rPr>
        <w:t xml:space="preserve"> A.D.S., </w:t>
      </w:r>
      <w:proofErr w:type="spellStart"/>
      <w:r w:rsidRPr="00A55CB5">
        <w:rPr>
          <w:rFonts w:cs="Arial"/>
          <w:szCs w:val="18"/>
          <w:lang w:val="en-US"/>
        </w:rPr>
        <w:t>Freitas</w:t>
      </w:r>
      <w:proofErr w:type="spellEnd"/>
      <w:r w:rsidRPr="00A55CB5">
        <w:rPr>
          <w:rFonts w:cs="Arial"/>
          <w:szCs w:val="18"/>
          <w:lang w:val="en-US"/>
        </w:rPr>
        <w:t xml:space="preserve"> A.C.D, Guirardello R., 2022, Analysis of Hydrogen Production from Glycerol Gasification using Supercritical and Subcritical Water. Chemical Engineering </w:t>
      </w:r>
      <w:proofErr w:type="spellStart"/>
      <w:r w:rsidRPr="00A55CB5">
        <w:rPr>
          <w:rFonts w:cs="Arial"/>
          <w:szCs w:val="18"/>
          <w:lang w:val="en-US"/>
        </w:rPr>
        <w:t>Trasactions</w:t>
      </w:r>
      <w:proofErr w:type="spellEnd"/>
      <w:r w:rsidRPr="00A55CB5">
        <w:rPr>
          <w:rFonts w:cs="Arial"/>
          <w:szCs w:val="18"/>
          <w:lang w:val="en-US"/>
        </w:rPr>
        <w:t>, 92, 133-139.</w:t>
      </w:r>
    </w:p>
    <w:p w:rsidR="00D411F7" w:rsidRPr="00A55CB5" w:rsidRDefault="00D411F7" w:rsidP="000311DB">
      <w:pPr>
        <w:pStyle w:val="CETReferencetext"/>
        <w:rPr>
          <w:rFonts w:cs="Arial"/>
          <w:szCs w:val="18"/>
          <w:lang w:val="en-US"/>
        </w:rPr>
      </w:pPr>
      <w:r w:rsidRPr="00A55CB5">
        <w:rPr>
          <w:rFonts w:cs="Arial"/>
          <w:szCs w:val="18"/>
          <w:lang w:val="en-US"/>
        </w:rPr>
        <w:t>Guan Q., Wei C., Savage P.E., 2012, Kinetic model for supercritical water gasification of algae, Phys. Chem. Chem. Phys., 14, 3140-3147.</w:t>
      </w:r>
    </w:p>
    <w:p w:rsidR="00D411F7" w:rsidRPr="00A55CB5" w:rsidRDefault="00D411F7" w:rsidP="00D70F78">
      <w:pPr>
        <w:pStyle w:val="CETReferencetext"/>
        <w:rPr>
          <w:rFonts w:cs="Arial"/>
          <w:szCs w:val="18"/>
          <w:lang w:val="en-US"/>
        </w:rPr>
      </w:pPr>
      <w:r w:rsidRPr="00A55CB5">
        <w:rPr>
          <w:rFonts w:cs="Arial"/>
          <w:szCs w:val="18"/>
          <w:lang w:val="en-US"/>
        </w:rPr>
        <w:t xml:space="preserve">IBGE, 2023, </w:t>
      </w:r>
      <w:proofErr w:type="spellStart"/>
      <w:r w:rsidRPr="00A55CB5">
        <w:rPr>
          <w:rFonts w:cs="Arial"/>
          <w:szCs w:val="18"/>
          <w:lang w:val="en-US"/>
        </w:rPr>
        <w:t>Açaí</w:t>
      </w:r>
      <w:proofErr w:type="spellEnd"/>
      <w:r w:rsidRPr="00A55CB5">
        <w:rPr>
          <w:rFonts w:cs="Arial"/>
          <w:szCs w:val="18"/>
          <w:lang w:val="en-US"/>
        </w:rPr>
        <w:t xml:space="preserve"> Production (cultivation) </w:t>
      </w:r>
      <w:proofErr w:type="spellStart"/>
      <w:r w:rsidRPr="00A55CB5">
        <w:rPr>
          <w:rFonts w:cs="Arial"/>
          <w:szCs w:val="18"/>
          <w:lang w:val="en-US"/>
        </w:rPr>
        <w:t>Instituto</w:t>
      </w:r>
      <w:proofErr w:type="spellEnd"/>
      <w:r w:rsidRPr="00A55CB5">
        <w:rPr>
          <w:rFonts w:cs="Arial"/>
          <w:szCs w:val="18"/>
          <w:lang w:val="en-US"/>
        </w:rPr>
        <w:t xml:space="preserve"> </w:t>
      </w:r>
      <w:proofErr w:type="spellStart"/>
      <w:r w:rsidRPr="00A55CB5">
        <w:rPr>
          <w:rFonts w:cs="Arial"/>
          <w:szCs w:val="18"/>
          <w:lang w:val="en-US"/>
        </w:rPr>
        <w:t>Brasileiro</w:t>
      </w:r>
      <w:proofErr w:type="spellEnd"/>
      <w:r w:rsidRPr="00A55CB5">
        <w:rPr>
          <w:rFonts w:cs="Arial"/>
          <w:szCs w:val="18"/>
          <w:lang w:val="en-US"/>
        </w:rPr>
        <w:t xml:space="preserve"> de </w:t>
      </w:r>
      <w:proofErr w:type="spellStart"/>
      <w:r w:rsidRPr="00A55CB5">
        <w:rPr>
          <w:rFonts w:cs="Arial"/>
          <w:szCs w:val="18"/>
          <w:lang w:val="en-US"/>
        </w:rPr>
        <w:t>Geografia</w:t>
      </w:r>
      <w:proofErr w:type="spellEnd"/>
      <w:r w:rsidRPr="00A55CB5">
        <w:rPr>
          <w:rFonts w:cs="Arial"/>
          <w:szCs w:val="18"/>
          <w:lang w:val="en-US"/>
        </w:rPr>
        <w:t xml:space="preserve"> e </w:t>
      </w:r>
      <w:proofErr w:type="spellStart"/>
      <w:r w:rsidRPr="00A55CB5">
        <w:rPr>
          <w:rFonts w:cs="Arial"/>
          <w:szCs w:val="18"/>
          <w:lang w:val="en-US"/>
        </w:rPr>
        <w:t>Estatística</w:t>
      </w:r>
      <w:proofErr w:type="spellEnd"/>
      <w:r w:rsidRPr="00A55CB5">
        <w:rPr>
          <w:rFonts w:cs="Arial"/>
          <w:szCs w:val="18"/>
          <w:lang w:val="en-US"/>
        </w:rPr>
        <w:t xml:space="preserve"> &lt;</w:t>
      </w:r>
      <w:r w:rsidRPr="00A55CB5">
        <w:rPr>
          <w:lang w:val="en-US"/>
        </w:rPr>
        <w:t xml:space="preserve"> </w:t>
      </w:r>
      <w:r w:rsidRPr="00A55CB5">
        <w:rPr>
          <w:rFonts w:cs="Arial"/>
          <w:szCs w:val="18"/>
          <w:lang w:val="en-US"/>
        </w:rPr>
        <w:t>https://www.ibge.gov.br/explica/producao-agropecuaria/acai-cultivo/br &gt; accessed 11.12.2024.</w:t>
      </w:r>
    </w:p>
    <w:p w:rsidR="00D411F7" w:rsidRPr="00A55CB5" w:rsidRDefault="00D411F7" w:rsidP="00D70F78">
      <w:pPr>
        <w:pStyle w:val="CETReferencetext"/>
        <w:rPr>
          <w:rFonts w:cs="Arial"/>
          <w:szCs w:val="18"/>
          <w:lang w:val="en-US"/>
        </w:rPr>
      </w:pPr>
      <w:proofErr w:type="spellStart"/>
      <w:r w:rsidRPr="00A55CB5">
        <w:rPr>
          <w:rFonts w:cs="Arial"/>
          <w:szCs w:val="18"/>
          <w:lang w:val="en-US"/>
        </w:rPr>
        <w:t>Pitzer</w:t>
      </w:r>
      <w:proofErr w:type="spellEnd"/>
      <w:r w:rsidRPr="00A55CB5">
        <w:rPr>
          <w:rFonts w:cs="Arial"/>
          <w:szCs w:val="18"/>
          <w:lang w:val="en-US"/>
        </w:rPr>
        <w:t xml:space="preserve"> K.S., Lippmann D.Z., Curl R.F., Huggins C.M., Petersen D.E., 1955, The Volumetric and Thermodynamic Properties of Fluids. I. Theoretical Basis and Virial Coefficients J. Am. Chem. Soc., 77, 3433–3440.</w:t>
      </w:r>
    </w:p>
    <w:p w:rsidR="00D411F7" w:rsidRPr="00A55CB5" w:rsidRDefault="00D411F7" w:rsidP="009A3FD1">
      <w:pPr>
        <w:pStyle w:val="CETReferencetext"/>
        <w:rPr>
          <w:lang w:val="en-US"/>
        </w:rPr>
      </w:pPr>
      <w:r w:rsidRPr="00A55CB5">
        <w:rPr>
          <w:lang w:val="en-US"/>
        </w:rPr>
        <w:t>Po</w:t>
      </w:r>
      <w:r w:rsidR="007119FD" w:rsidRPr="00A55CB5">
        <w:rPr>
          <w:lang w:val="en-US"/>
        </w:rPr>
        <w:t>l</w:t>
      </w:r>
      <w:r w:rsidRPr="00A55CB5">
        <w:rPr>
          <w:lang w:val="en-US"/>
        </w:rPr>
        <w:t xml:space="preserve">ling, B.E.; Prausnitz, J.M.; </w:t>
      </w:r>
      <w:proofErr w:type="spellStart"/>
      <w:r w:rsidRPr="00A55CB5">
        <w:rPr>
          <w:lang w:val="en-US"/>
        </w:rPr>
        <w:t>O’connell</w:t>
      </w:r>
      <w:proofErr w:type="spellEnd"/>
      <w:r w:rsidRPr="00A55CB5">
        <w:rPr>
          <w:lang w:val="en-US"/>
        </w:rPr>
        <w:t>, J.P. Properties of Gases and Liquids; McGraw-Hill Education: New York, NY, USA, 2001.</w:t>
      </w:r>
    </w:p>
    <w:p w:rsidR="00D411F7" w:rsidRPr="00A55CB5" w:rsidRDefault="00D411F7" w:rsidP="00096060">
      <w:pPr>
        <w:pStyle w:val="CETReferencetext"/>
        <w:rPr>
          <w:rFonts w:cs="Arial"/>
          <w:szCs w:val="18"/>
          <w:lang w:val="en-US"/>
        </w:rPr>
      </w:pPr>
      <w:proofErr w:type="spellStart"/>
      <w:r w:rsidRPr="00A55CB5">
        <w:rPr>
          <w:rFonts w:cs="Arial"/>
          <w:szCs w:val="18"/>
          <w:lang w:val="en-US"/>
        </w:rPr>
        <w:t>Rahimi</w:t>
      </w:r>
      <w:proofErr w:type="spellEnd"/>
      <w:r w:rsidRPr="00A55CB5">
        <w:rPr>
          <w:rFonts w:cs="Arial"/>
          <w:szCs w:val="18"/>
          <w:lang w:val="en-US"/>
        </w:rPr>
        <w:t xml:space="preserve"> Z., </w:t>
      </w:r>
      <w:proofErr w:type="spellStart"/>
      <w:r w:rsidRPr="00A55CB5">
        <w:rPr>
          <w:rFonts w:cs="Arial"/>
          <w:szCs w:val="18"/>
          <w:lang w:val="en-US"/>
        </w:rPr>
        <w:t>Anand</w:t>
      </w:r>
      <w:proofErr w:type="spellEnd"/>
      <w:r w:rsidRPr="00A55CB5">
        <w:rPr>
          <w:rFonts w:cs="Arial"/>
          <w:szCs w:val="18"/>
          <w:lang w:val="en-US"/>
        </w:rPr>
        <w:t xml:space="preserve"> A., </w:t>
      </w:r>
      <w:proofErr w:type="spellStart"/>
      <w:r w:rsidRPr="00A55CB5">
        <w:rPr>
          <w:rFonts w:cs="Arial"/>
          <w:szCs w:val="18"/>
          <w:lang w:val="en-US"/>
        </w:rPr>
        <w:t>Gautam</w:t>
      </w:r>
      <w:proofErr w:type="spellEnd"/>
      <w:r w:rsidRPr="00A55CB5">
        <w:rPr>
          <w:rFonts w:cs="Arial"/>
          <w:szCs w:val="18"/>
          <w:lang w:val="en-US"/>
        </w:rPr>
        <w:t xml:space="preserve"> S., 2022, An overview on </w:t>
      </w:r>
      <w:proofErr w:type="spellStart"/>
      <w:r w:rsidRPr="00A55CB5">
        <w:rPr>
          <w:rFonts w:cs="Arial"/>
          <w:szCs w:val="18"/>
          <w:lang w:val="en-US"/>
        </w:rPr>
        <w:t>thermochemical</w:t>
      </w:r>
      <w:proofErr w:type="spellEnd"/>
      <w:r w:rsidRPr="00A55CB5">
        <w:rPr>
          <w:rFonts w:cs="Arial"/>
          <w:szCs w:val="18"/>
          <w:lang w:val="en-US"/>
        </w:rPr>
        <w:t xml:space="preserve"> conversion and potential evaluation of biofuels derived from agricultural wastes, Energy Nexus, 7, 100125.</w:t>
      </w:r>
    </w:p>
    <w:p w:rsidR="00D411F7" w:rsidRPr="00A55CB5" w:rsidRDefault="00D411F7" w:rsidP="00A71F99">
      <w:pPr>
        <w:pStyle w:val="CETReferencetext"/>
        <w:rPr>
          <w:rFonts w:cs="Arial"/>
          <w:szCs w:val="18"/>
          <w:lang w:val="en-US"/>
        </w:rPr>
      </w:pPr>
      <w:proofErr w:type="spellStart"/>
      <w:r w:rsidRPr="00A55CB5">
        <w:rPr>
          <w:rFonts w:cs="Arial"/>
          <w:szCs w:val="18"/>
          <w:lang w:val="en-US"/>
        </w:rPr>
        <w:t>Ribeiro</w:t>
      </w:r>
      <w:proofErr w:type="spellEnd"/>
      <w:r w:rsidRPr="00A55CB5">
        <w:rPr>
          <w:rFonts w:cs="Arial"/>
          <w:szCs w:val="18"/>
          <w:lang w:val="en-US"/>
        </w:rPr>
        <w:t xml:space="preserve"> L.A.S., </w:t>
      </w:r>
      <w:proofErr w:type="spellStart"/>
      <w:r w:rsidRPr="00A55CB5">
        <w:rPr>
          <w:rFonts w:cs="Arial"/>
          <w:szCs w:val="18"/>
          <w:lang w:val="en-US"/>
        </w:rPr>
        <w:t>Thim</w:t>
      </w:r>
      <w:proofErr w:type="spellEnd"/>
      <w:r w:rsidRPr="00A55CB5">
        <w:rPr>
          <w:rFonts w:cs="Arial"/>
          <w:szCs w:val="18"/>
          <w:lang w:val="en-US"/>
        </w:rPr>
        <w:t xml:space="preserve"> G.P., Alvarez-Mendez M.O., </w:t>
      </w:r>
      <w:proofErr w:type="spellStart"/>
      <w:r w:rsidRPr="00A55CB5">
        <w:rPr>
          <w:rFonts w:cs="Arial"/>
          <w:szCs w:val="18"/>
          <w:lang w:val="en-US"/>
        </w:rPr>
        <w:t>Coutinho</w:t>
      </w:r>
      <w:proofErr w:type="spellEnd"/>
      <w:r w:rsidRPr="00A55CB5">
        <w:rPr>
          <w:rFonts w:cs="Arial"/>
          <w:szCs w:val="18"/>
          <w:lang w:val="en-US"/>
        </w:rPr>
        <w:t xml:space="preserve"> A.R., </w:t>
      </w:r>
      <w:proofErr w:type="spellStart"/>
      <w:r w:rsidRPr="00A55CB5">
        <w:rPr>
          <w:rFonts w:cs="Arial"/>
          <w:szCs w:val="18"/>
          <w:lang w:val="en-US"/>
        </w:rPr>
        <w:t>Moraes</w:t>
      </w:r>
      <w:proofErr w:type="spellEnd"/>
      <w:r w:rsidRPr="00A55CB5">
        <w:rPr>
          <w:rFonts w:cs="Arial"/>
          <w:szCs w:val="18"/>
          <w:lang w:val="en-US"/>
        </w:rPr>
        <w:t xml:space="preserve"> N.P., </w:t>
      </w:r>
      <w:proofErr w:type="spellStart"/>
      <w:r w:rsidRPr="00A55CB5">
        <w:rPr>
          <w:rFonts w:cs="Arial"/>
          <w:szCs w:val="18"/>
          <w:lang w:val="en-US"/>
        </w:rPr>
        <w:t>Rodrigues</w:t>
      </w:r>
      <w:proofErr w:type="spellEnd"/>
      <w:r w:rsidRPr="00A55CB5">
        <w:rPr>
          <w:rFonts w:cs="Arial"/>
          <w:szCs w:val="18"/>
          <w:lang w:val="en-US"/>
        </w:rPr>
        <w:t xml:space="preserve"> L.A., 2018, Preparation, characterization, and application of low-cost </w:t>
      </w:r>
      <w:proofErr w:type="spellStart"/>
      <w:r w:rsidRPr="00A55CB5">
        <w:rPr>
          <w:rFonts w:cs="Arial"/>
          <w:szCs w:val="18"/>
          <w:lang w:val="en-US"/>
        </w:rPr>
        <w:t>açaí</w:t>
      </w:r>
      <w:proofErr w:type="spellEnd"/>
      <w:r w:rsidRPr="00A55CB5">
        <w:rPr>
          <w:rFonts w:cs="Arial"/>
          <w:szCs w:val="18"/>
          <w:lang w:val="en-US"/>
        </w:rPr>
        <w:t xml:space="preserve"> seed-based activated carbon for phenol adsorption. International Journal of Environmental Research, 12, 755–764.</w:t>
      </w:r>
    </w:p>
    <w:p w:rsidR="00D411F7" w:rsidRPr="00A55CB5" w:rsidRDefault="00D411F7" w:rsidP="000311DB">
      <w:pPr>
        <w:pStyle w:val="CETReferencetext"/>
        <w:rPr>
          <w:rFonts w:cs="Arial"/>
          <w:szCs w:val="18"/>
          <w:lang w:val="en-US"/>
        </w:rPr>
      </w:pPr>
      <w:r w:rsidRPr="00A55CB5">
        <w:rPr>
          <w:rFonts w:cs="Arial"/>
          <w:szCs w:val="18"/>
          <w:lang w:val="en-US"/>
        </w:rPr>
        <w:t>Santos-</w:t>
      </w:r>
      <w:proofErr w:type="spellStart"/>
      <w:r w:rsidRPr="00A55CB5">
        <w:rPr>
          <w:rFonts w:cs="Arial"/>
          <w:szCs w:val="18"/>
          <w:lang w:val="en-US"/>
        </w:rPr>
        <w:t>Júnior</w:t>
      </w:r>
      <w:proofErr w:type="spellEnd"/>
      <w:r w:rsidRPr="00A55CB5">
        <w:rPr>
          <w:rFonts w:cs="Arial"/>
          <w:szCs w:val="18"/>
          <w:lang w:val="en-US"/>
        </w:rPr>
        <w:t xml:space="preserve"> J.M., </w:t>
      </w:r>
      <w:proofErr w:type="spellStart"/>
      <w:r w:rsidRPr="00A55CB5">
        <w:rPr>
          <w:rFonts w:cs="Arial"/>
          <w:szCs w:val="18"/>
          <w:lang w:val="en-US"/>
        </w:rPr>
        <w:t>Vidotti</w:t>
      </w:r>
      <w:proofErr w:type="spellEnd"/>
      <w:r w:rsidRPr="00A55CB5">
        <w:rPr>
          <w:rFonts w:cs="Arial"/>
          <w:szCs w:val="18"/>
          <w:lang w:val="en-US"/>
        </w:rPr>
        <w:t xml:space="preserve"> A.D S., </w:t>
      </w:r>
      <w:proofErr w:type="spellStart"/>
      <w:r w:rsidRPr="00A55CB5">
        <w:rPr>
          <w:rFonts w:cs="Arial"/>
          <w:szCs w:val="18"/>
          <w:lang w:val="en-US"/>
        </w:rPr>
        <w:t>Freitas</w:t>
      </w:r>
      <w:proofErr w:type="spellEnd"/>
      <w:r w:rsidRPr="00A55CB5">
        <w:rPr>
          <w:rFonts w:cs="Arial"/>
          <w:szCs w:val="18"/>
          <w:lang w:val="en-US"/>
        </w:rPr>
        <w:t xml:space="preserve"> A.C.D., Guirardello R., 2024, Black Liquor Gasification in Supercritical Water: Thermodynamic Study for Isothermal Systems. Chemical Engineering Transactions, 109, 205-210.</w:t>
      </w:r>
    </w:p>
    <w:p w:rsidR="00D411F7" w:rsidRPr="00A55CB5" w:rsidRDefault="00D411F7" w:rsidP="00D70F78">
      <w:pPr>
        <w:pStyle w:val="CETReferencetext"/>
        <w:rPr>
          <w:rFonts w:cs="Arial"/>
          <w:szCs w:val="18"/>
          <w:lang w:val="en-US"/>
        </w:rPr>
      </w:pPr>
      <w:proofErr w:type="spellStart"/>
      <w:r w:rsidRPr="00A55CB5">
        <w:rPr>
          <w:rFonts w:cs="Arial"/>
          <w:szCs w:val="18"/>
          <w:lang w:val="en-US"/>
        </w:rPr>
        <w:t>Tsonopoulos</w:t>
      </w:r>
      <w:proofErr w:type="spellEnd"/>
      <w:r w:rsidRPr="00A55CB5">
        <w:rPr>
          <w:rFonts w:cs="Arial"/>
          <w:szCs w:val="18"/>
          <w:lang w:val="en-US"/>
        </w:rPr>
        <w:t xml:space="preserve"> C., 1974,</w:t>
      </w:r>
      <w:r w:rsidRPr="00A55CB5">
        <w:rPr>
          <w:lang w:val="en-US"/>
        </w:rPr>
        <w:t xml:space="preserve"> </w:t>
      </w:r>
      <w:r w:rsidRPr="00A55CB5">
        <w:rPr>
          <w:rFonts w:cs="Arial"/>
          <w:szCs w:val="18"/>
          <w:lang w:val="en-US"/>
        </w:rPr>
        <w:t xml:space="preserve">An empirical correlation of second virial coefficients, </w:t>
      </w:r>
      <w:proofErr w:type="spellStart"/>
      <w:r w:rsidRPr="00A55CB5">
        <w:rPr>
          <w:rFonts w:cs="Arial"/>
          <w:szCs w:val="18"/>
          <w:lang w:val="en-US"/>
        </w:rPr>
        <w:t>AIChE</w:t>
      </w:r>
      <w:proofErr w:type="spellEnd"/>
      <w:r w:rsidRPr="00A55CB5">
        <w:rPr>
          <w:rFonts w:cs="Arial"/>
          <w:szCs w:val="18"/>
          <w:lang w:val="en-US"/>
        </w:rPr>
        <w:t xml:space="preserve"> Journal, 20, 263–272.</w:t>
      </w:r>
    </w:p>
    <w:p w:rsidR="00D411F7" w:rsidRPr="00A55CB5" w:rsidRDefault="00D411F7" w:rsidP="000311DB">
      <w:pPr>
        <w:pStyle w:val="CETReferencetext"/>
        <w:rPr>
          <w:rFonts w:cs="Arial"/>
          <w:szCs w:val="18"/>
          <w:lang w:val="en-US"/>
        </w:rPr>
      </w:pPr>
      <w:r w:rsidRPr="00A55CB5">
        <w:rPr>
          <w:rFonts w:cs="Arial"/>
          <w:szCs w:val="18"/>
          <w:lang w:val="en-US"/>
        </w:rPr>
        <w:t xml:space="preserve">Zhang J., </w:t>
      </w:r>
      <w:proofErr w:type="spellStart"/>
      <w:r w:rsidRPr="00A55CB5">
        <w:rPr>
          <w:rFonts w:cs="Arial"/>
          <w:szCs w:val="18"/>
          <w:lang w:val="en-US"/>
        </w:rPr>
        <w:t>Gu</w:t>
      </w:r>
      <w:proofErr w:type="spellEnd"/>
      <w:r w:rsidRPr="00A55CB5">
        <w:rPr>
          <w:rFonts w:cs="Arial"/>
          <w:szCs w:val="18"/>
          <w:lang w:val="en-US"/>
        </w:rPr>
        <w:t xml:space="preserve"> J., Shan R., Yuan H., Chen Y., 2025, Advances in </w:t>
      </w:r>
      <w:proofErr w:type="spellStart"/>
      <w:r w:rsidRPr="00A55CB5">
        <w:rPr>
          <w:rFonts w:cs="Arial"/>
          <w:szCs w:val="18"/>
          <w:lang w:val="en-US"/>
        </w:rPr>
        <w:t>thermochemical</w:t>
      </w:r>
      <w:proofErr w:type="spellEnd"/>
      <w:r w:rsidRPr="00A55CB5">
        <w:rPr>
          <w:rFonts w:cs="Arial"/>
          <w:szCs w:val="18"/>
          <w:lang w:val="en-US"/>
        </w:rPr>
        <w:t xml:space="preserve"> valorization of biomass towards carbon neutrality, Resources, Conservation and Recycling, 212, 107905.</w:t>
      </w:r>
    </w:p>
    <w:p w:rsidR="00D411F7" w:rsidRPr="00A55CB5" w:rsidRDefault="00D411F7" w:rsidP="0043082B">
      <w:pPr>
        <w:pStyle w:val="CETReferencetext"/>
        <w:rPr>
          <w:rFonts w:cs="Arial"/>
          <w:szCs w:val="18"/>
          <w:lang w:val="en-US"/>
        </w:rPr>
      </w:pPr>
      <w:r w:rsidRPr="00A55CB5">
        <w:rPr>
          <w:rFonts w:cs="Arial"/>
          <w:szCs w:val="18"/>
          <w:lang w:val="en-US"/>
        </w:rPr>
        <w:t xml:space="preserve">Zhao H., </w:t>
      </w:r>
      <w:proofErr w:type="spellStart"/>
      <w:r w:rsidRPr="00A55CB5">
        <w:rPr>
          <w:rFonts w:cs="Arial"/>
          <w:szCs w:val="18"/>
          <w:lang w:val="en-US"/>
        </w:rPr>
        <w:t>Guo</w:t>
      </w:r>
      <w:proofErr w:type="spellEnd"/>
      <w:r w:rsidRPr="00A55CB5">
        <w:rPr>
          <w:rFonts w:cs="Arial"/>
          <w:szCs w:val="18"/>
          <w:lang w:val="en-US"/>
        </w:rPr>
        <w:t xml:space="preserve"> L., </w:t>
      </w:r>
      <w:proofErr w:type="spellStart"/>
      <w:r w:rsidRPr="00A55CB5">
        <w:rPr>
          <w:rFonts w:cs="Arial"/>
          <w:szCs w:val="18"/>
          <w:lang w:val="en-US"/>
        </w:rPr>
        <w:t>Zou</w:t>
      </w:r>
      <w:proofErr w:type="spellEnd"/>
      <w:r w:rsidRPr="00A55CB5">
        <w:rPr>
          <w:rFonts w:cs="Arial"/>
          <w:szCs w:val="18"/>
          <w:lang w:val="en-US"/>
        </w:rPr>
        <w:t xml:space="preserve"> X., 2015, Chemical-looping auto-thermal reforming of biomass using Cu-based oxygen carrier, Applied Energy, 157, 408-415.</w:t>
      </w:r>
    </w:p>
    <w:sectPr w:rsidR="00D411F7" w:rsidRPr="00A55CB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70D" w:rsidRDefault="0068070D" w:rsidP="004F5E36">
      <w:r>
        <w:separator/>
      </w:r>
    </w:p>
  </w:endnote>
  <w:endnote w:type="continuationSeparator" w:id="0">
    <w:p w:rsidR="0068070D" w:rsidRDefault="0068070D"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70D" w:rsidRDefault="0068070D" w:rsidP="004F5E36">
      <w:r>
        <w:separator/>
      </w:r>
    </w:p>
  </w:footnote>
  <w:footnote w:type="continuationSeparator" w:id="0">
    <w:p w:rsidR="0068070D" w:rsidRDefault="0068070D"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1001"/>
  <w:documentProtection w:edit="forms" w:enforcement="0"/>
  <w:styleLockTheme/>
  <w:styleLockQFSet/>
  <w:defaultTabStop w:val="708"/>
  <w:hyphenationZone w:val="283"/>
  <w:clickAndTypeStyle w:val="CETBodytext"/>
  <w:characterSpacingControl w:val="doNotCompress"/>
  <w:hdrShapeDefaults>
    <o:shapedefaults v:ext="edit" spidmax="5120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2DC0"/>
    <w:rsid w:val="000311DB"/>
    <w:rsid w:val="0003148D"/>
    <w:rsid w:val="00031EEC"/>
    <w:rsid w:val="0003728A"/>
    <w:rsid w:val="00051566"/>
    <w:rsid w:val="000562A9"/>
    <w:rsid w:val="00062A9A"/>
    <w:rsid w:val="00065058"/>
    <w:rsid w:val="00066E00"/>
    <w:rsid w:val="000723EA"/>
    <w:rsid w:val="00076A13"/>
    <w:rsid w:val="00086C39"/>
    <w:rsid w:val="0009277E"/>
    <w:rsid w:val="00094544"/>
    <w:rsid w:val="00096060"/>
    <w:rsid w:val="000A03B2"/>
    <w:rsid w:val="000A6C58"/>
    <w:rsid w:val="000D0268"/>
    <w:rsid w:val="000D34BE"/>
    <w:rsid w:val="000E0B3C"/>
    <w:rsid w:val="000E102F"/>
    <w:rsid w:val="000E36F1"/>
    <w:rsid w:val="000E3A73"/>
    <w:rsid w:val="000E414A"/>
    <w:rsid w:val="000E6E12"/>
    <w:rsid w:val="000E75FD"/>
    <w:rsid w:val="000F093C"/>
    <w:rsid w:val="000F3FDC"/>
    <w:rsid w:val="000F4D94"/>
    <w:rsid w:val="000F787B"/>
    <w:rsid w:val="00110C66"/>
    <w:rsid w:val="00113D36"/>
    <w:rsid w:val="0012091F"/>
    <w:rsid w:val="00126BC2"/>
    <w:rsid w:val="001308B6"/>
    <w:rsid w:val="0013121F"/>
    <w:rsid w:val="00131FE6"/>
    <w:rsid w:val="0013263F"/>
    <w:rsid w:val="001331DF"/>
    <w:rsid w:val="00134DE4"/>
    <w:rsid w:val="00137C44"/>
    <w:rsid w:val="0014034D"/>
    <w:rsid w:val="00140FE3"/>
    <w:rsid w:val="00144D16"/>
    <w:rsid w:val="00150E59"/>
    <w:rsid w:val="001516DE"/>
    <w:rsid w:val="00152DE3"/>
    <w:rsid w:val="00153323"/>
    <w:rsid w:val="00153D1C"/>
    <w:rsid w:val="00164CF9"/>
    <w:rsid w:val="00164DD1"/>
    <w:rsid w:val="0016668E"/>
    <w:rsid w:val="001667A6"/>
    <w:rsid w:val="0018171E"/>
    <w:rsid w:val="00184AD6"/>
    <w:rsid w:val="00187D2D"/>
    <w:rsid w:val="001A4AF7"/>
    <w:rsid w:val="001B0349"/>
    <w:rsid w:val="001B0575"/>
    <w:rsid w:val="001B1E93"/>
    <w:rsid w:val="001B29D9"/>
    <w:rsid w:val="001B65C1"/>
    <w:rsid w:val="001C260F"/>
    <w:rsid w:val="001C5C3A"/>
    <w:rsid w:val="001C684B"/>
    <w:rsid w:val="001D0CFB"/>
    <w:rsid w:val="001D21AF"/>
    <w:rsid w:val="001D3D32"/>
    <w:rsid w:val="001D53FC"/>
    <w:rsid w:val="001E01FA"/>
    <w:rsid w:val="001F42A5"/>
    <w:rsid w:val="001F5F2E"/>
    <w:rsid w:val="001F7121"/>
    <w:rsid w:val="001F7B9D"/>
    <w:rsid w:val="00201C93"/>
    <w:rsid w:val="0020529D"/>
    <w:rsid w:val="002168B6"/>
    <w:rsid w:val="002224B4"/>
    <w:rsid w:val="0022749C"/>
    <w:rsid w:val="002447EF"/>
    <w:rsid w:val="00251550"/>
    <w:rsid w:val="00257C98"/>
    <w:rsid w:val="00263B05"/>
    <w:rsid w:val="002709ED"/>
    <w:rsid w:val="0027221A"/>
    <w:rsid w:val="00275B61"/>
    <w:rsid w:val="00280FAF"/>
    <w:rsid w:val="00282656"/>
    <w:rsid w:val="00283315"/>
    <w:rsid w:val="00296B83"/>
    <w:rsid w:val="002B4015"/>
    <w:rsid w:val="002B78CE"/>
    <w:rsid w:val="002C2FB6"/>
    <w:rsid w:val="002C55C2"/>
    <w:rsid w:val="002E5FA7"/>
    <w:rsid w:val="002F3309"/>
    <w:rsid w:val="003008CE"/>
    <w:rsid w:val="003009B7"/>
    <w:rsid w:val="00300E56"/>
    <w:rsid w:val="00300F05"/>
    <w:rsid w:val="0030152C"/>
    <w:rsid w:val="0030469C"/>
    <w:rsid w:val="00304CE8"/>
    <w:rsid w:val="00313B56"/>
    <w:rsid w:val="00321CA6"/>
    <w:rsid w:val="00323763"/>
    <w:rsid w:val="00323C5F"/>
    <w:rsid w:val="00334C09"/>
    <w:rsid w:val="00334F53"/>
    <w:rsid w:val="003723D4"/>
    <w:rsid w:val="003727C2"/>
    <w:rsid w:val="00373AFA"/>
    <w:rsid w:val="00376276"/>
    <w:rsid w:val="00377FE2"/>
    <w:rsid w:val="00381905"/>
    <w:rsid w:val="00384AA0"/>
    <w:rsid w:val="00384CC8"/>
    <w:rsid w:val="003871FD"/>
    <w:rsid w:val="003A1E30"/>
    <w:rsid w:val="003A25E4"/>
    <w:rsid w:val="003A2829"/>
    <w:rsid w:val="003A7D1C"/>
    <w:rsid w:val="003B304B"/>
    <w:rsid w:val="003B3146"/>
    <w:rsid w:val="003B49CD"/>
    <w:rsid w:val="003B5D0E"/>
    <w:rsid w:val="003B71B2"/>
    <w:rsid w:val="003C75CB"/>
    <w:rsid w:val="003D1E02"/>
    <w:rsid w:val="003F015E"/>
    <w:rsid w:val="00400414"/>
    <w:rsid w:val="00404EA6"/>
    <w:rsid w:val="004116AB"/>
    <w:rsid w:val="0041446B"/>
    <w:rsid w:val="00416941"/>
    <w:rsid w:val="00420595"/>
    <w:rsid w:val="0043082B"/>
    <w:rsid w:val="0043494F"/>
    <w:rsid w:val="0044071E"/>
    <w:rsid w:val="0044329C"/>
    <w:rsid w:val="00446E27"/>
    <w:rsid w:val="00453E24"/>
    <w:rsid w:val="00457456"/>
    <w:rsid w:val="004577FE"/>
    <w:rsid w:val="00457B9C"/>
    <w:rsid w:val="0046164A"/>
    <w:rsid w:val="004628D2"/>
    <w:rsid w:val="00462DCD"/>
    <w:rsid w:val="004648AD"/>
    <w:rsid w:val="004703A9"/>
    <w:rsid w:val="004760DE"/>
    <w:rsid w:val="004763D7"/>
    <w:rsid w:val="00485D72"/>
    <w:rsid w:val="004A004E"/>
    <w:rsid w:val="004A24CF"/>
    <w:rsid w:val="004B3D6E"/>
    <w:rsid w:val="004C3D1D"/>
    <w:rsid w:val="004C3D84"/>
    <w:rsid w:val="004C7913"/>
    <w:rsid w:val="004E4DD6"/>
    <w:rsid w:val="004F520D"/>
    <w:rsid w:val="004F5E36"/>
    <w:rsid w:val="00500609"/>
    <w:rsid w:val="00506DBD"/>
    <w:rsid w:val="00507B47"/>
    <w:rsid w:val="00507BEF"/>
    <w:rsid w:val="00507CC9"/>
    <w:rsid w:val="005119A5"/>
    <w:rsid w:val="005278B7"/>
    <w:rsid w:val="00532016"/>
    <w:rsid w:val="005346C8"/>
    <w:rsid w:val="00543E7D"/>
    <w:rsid w:val="00547A68"/>
    <w:rsid w:val="00550573"/>
    <w:rsid w:val="005531C9"/>
    <w:rsid w:val="00554879"/>
    <w:rsid w:val="00554955"/>
    <w:rsid w:val="00570C43"/>
    <w:rsid w:val="00572271"/>
    <w:rsid w:val="00590C44"/>
    <w:rsid w:val="00591AB0"/>
    <w:rsid w:val="00592274"/>
    <w:rsid w:val="00592A0D"/>
    <w:rsid w:val="005A10CB"/>
    <w:rsid w:val="005B2110"/>
    <w:rsid w:val="005B350B"/>
    <w:rsid w:val="005B61E6"/>
    <w:rsid w:val="005C049C"/>
    <w:rsid w:val="005C77E1"/>
    <w:rsid w:val="005D668A"/>
    <w:rsid w:val="005D6784"/>
    <w:rsid w:val="005D6A2F"/>
    <w:rsid w:val="005E0592"/>
    <w:rsid w:val="005E1A82"/>
    <w:rsid w:val="005E794C"/>
    <w:rsid w:val="005F0A28"/>
    <w:rsid w:val="005F0E5E"/>
    <w:rsid w:val="005F3C99"/>
    <w:rsid w:val="00600535"/>
    <w:rsid w:val="0060444F"/>
    <w:rsid w:val="00610CD6"/>
    <w:rsid w:val="00620DEE"/>
    <w:rsid w:val="00621F92"/>
    <w:rsid w:val="0062280A"/>
    <w:rsid w:val="006231E1"/>
    <w:rsid w:val="00625639"/>
    <w:rsid w:val="00626342"/>
    <w:rsid w:val="006272DB"/>
    <w:rsid w:val="00631804"/>
    <w:rsid w:val="00631B33"/>
    <w:rsid w:val="0063264E"/>
    <w:rsid w:val="0064184D"/>
    <w:rsid w:val="006422CC"/>
    <w:rsid w:val="00646D09"/>
    <w:rsid w:val="00651D18"/>
    <w:rsid w:val="00653D24"/>
    <w:rsid w:val="00660E3E"/>
    <w:rsid w:val="00662E74"/>
    <w:rsid w:val="0068070D"/>
    <w:rsid w:val="00680C23"/>
    <w:rsid w:val="00683E23"/>
    <w:rsid w:val="0069107B"/>
    <w:rsid w:val="00693766"/>
    <w:rsid w:val="006A3281"/>
    <w:rsid w:val="006A6DE5"/>
    <w:rsid w:val="006B3361"/>
    <w:rsid w:val="006B4888"/>
    <w:rsid w:val="006C2E45"/>
    <w:rsid w:val="006C359C"/>
    <w:rsid w:val="006C5579"/>
    <w:rsid w:val="006D031F"/>
    <w:rsid w:val="006D6E8B"/>
    <w:rsid w:val="006D7209"/>
    <w:rsid w:val="006E737D"/>
    <w:rsid w:val="006F6492"/>
    <w:rsid w:val="006F662A"/>
    <w:rsid w:val="00700479"/>
    <w:rsid w:val="00707DD1"/>
    <w:rsid w:val="007119FD"/>
    <w:rsid w:val="00713973"/>
    <w:rsid w:val="00715C42"/>
    <w:rsid w:val="00720419"/>
    <w:rsid w:val="00720A24"/>
    <w:rsid w:val="00721E27"/>
    <w:rsid w:val="00732386"/>
    <w:rsid w:val="0073514D"/>
    <w:rsid w:val="007447F3"/>
    <w:rsid w:val="00753063"/>
    <w:rsid w:val="0075499F"/>
    <w:rsid w:val="007661C8"/>
    <w:rsid w:val="0077098D"/>
    <w:rsid w:val="0077187D"/>
    <w:rsid w:val="007759D8"/>
    <w:rsid w:val="00780D19"/>
    <w:rsid w:val="0078222F"/>
    <w:rsid w:val="00785BF9"/>
    <w:rsid w:val="0079139B"/>
    <w:rsid w:val="007931FA"/>
    <w:rsid w:val="007A4861"/>
    <w:rsid w:val="007A60CF"/>
    <w:rsid w:val="007A7BBA"/>
    <w:rsid w:val="007B0C50"/>
    <w:rsid w:val="007B48F9"/>
    <w:rsid w:val="007B5CAA"/>
    <w:rsid w:val="007C0123"/>
    <w:rsid w:val="007C081B"/>
    <w:rsid w:val="007C1A43"/>
    <w:rsid w:val="007D0951"/>
    <w:rsid w:val="007D41FA"/>
    <w:rsid w:val="007D610D"/>
    <w:rsid w:val="007E4D5B"/>
    <w:rsid w:val="007F315A"/>
    <w:rsid w:val="0080013E"/>
    <w:rsid w:val="00801759"/>
    <w:rsid w:val="00813288"/>
    <w:rsid w:val="008148D3"/>
    <w:rsid w:val="008168FC"/>
    <w:rsid w:val="00817B68"/>
    <w:rsid w:val="00824B51"/>
    <w:rsid w:val="00826B13"/>
    <w:rsid w:val="00827CED"/>
    <w:rsid w:val="00830996"/>
    <w:rsid w:val="008345F1"/>
    <w:rsid w:val="00865B07"/>
    <w:rsid w:val="008667EA"/>
    <w:rsid w:val="008725D3"/>
    <w:rsid w:val="0087637F"/>
    <w:rsid w:val="00876547"/>
    <w:rsid w:val="0088278E"/>
    <w:rsid w:val="00885050"/>
    <w:rsid w:val="00892AD5"/>
    <w:rsid w:val="008A1512"/>
    <w:rsid w:val="008B0029"/>
    <w:rsid w:val="008B6C14"/>
    <w:rsid w:val="008B7058"/>
    <w:rsid w:val="008C3529"/>
    <w:rsid w:val="008D32B9"/>
    <w:rsid w:val="008D433B"/>
    <w:rsid w:val="008D4A16"/>
    <w:rsid w:val="008D612B"/>
    <w:rsid w:val="008D6FE8"/>
    <w:rsid w:val="008E5401"/>
    <w:rsid w:val="008E566E"/>
    <w:rsid w:val="008F1F76"/>
    <w:rsid w:val="0090161A"/>
    <w:rsid w:val="00901EB6"/>
    <w:rsid w:val="009041F8"/>
    <w:rsid w:val="00904C62"/>
    <w:rsid w:val="00913E7B"/>
    <w:rsid w:val="00922BA8"/>
    <w:rsid w:val="00923D80"/>
    <w:rsid w:val="00924DAC"/>
    <w:rsid w:val="009257BE"/>
    <w:rsid w:val="00927058"/>
    <w:rsid w:val="0093192F"/>
    <w:rsid w:val="009403CD"/>
    <w:rsid w:val="00942750"/>
    <w:rsid w:val="009450CE"/>
    <w:rsid w:val="009459BB"/>
    <w:rsid w:val="00947179"/>
    <w:rsid w:val="0095164B"/>
    <w:rsid w:val="00954090"/>
    <w:rsid w:val="00956834"/>
    <w:rsid w:val="009573E7"/>
    <w:rsid w:val="00963E05"/>
    <w:rsid w:val="00964A45"/>
    <w:rsid w:val="00967843"/>
    <w:rsid w:val="00967D54"/>
    <w:rsid w:val="00971028"/>
    <w:rsid w:val="00971ACA"/>
    <w:rsid w:val="00980067"/>
    <w:rsid w:val="009835FE"/>
    <w:rsid w:val="00993B84"/>
    <w:rsid w:val="00994C6A"/>
    <w:rsid w:val="00996483"/>
    <w:rsid w:val="00996F5A"/>
    <w:rsid w:val="009A3FD1"/>
    <w:rsid w:val="009B041A"/>
    <w:rsid w:val="009B0FDB"/>
    <w:rsid w:val="009B5487"/>
    <w:rsid w:val="009B6E57"/>
    <w:rsid w:val="009C37C3"/>
    <w:rsid w:val="009C7C86"/>
    <w:rsid w:val="009D2FF7"/>
    <w:rsid w:val="009E1DB9"/>
    <w:rsid w:val="009E7884"/>
    <w:rsid w:val="009E788A"/>
    <w:rsid w:val="009F0E08"/>
    <w:rsid w:val="00A050C6"/>
    <w:rsid w:val="00A079AE"/>
    <w:rsid w:val="00A1763D"/>
    <w:rsid w:val="00A17CEC"/>
    <w:rsid w:val="00A27525"/>
    <w:rsid w:val="00A27EF0"/>
    <w:rsid w:val="00A42361"/>
    <w:rsid w:val="00A44FC0"/>
    <w:rsid w:val="00A50B20"/>
    <w:rsid w:val="00A51390"/>
    <w:rsid w:val="00A55CB5"/>
    <w:rsid w:val="00A60D13"/>
    <w:rsid w:val="00A611FB"/>
    <w:rsid w:val="00A71F99"/>
    <w:rsid w:val="00A7223D"/>
    <w:rsid w:val="00A72745"/>
    <w:rsid w:val="00A75FE6"/>
    <w:rsid w:val="00A76EFC"/>
    <w:rsid w:val="00A87D50"/>
    <w:rsid w:val="00A91010"/>
    <w:rsid w:val="00A916EE"/>
    <w:rsid w:val="00A97F29"/>
    <w:rsid w:val="00AA0F4E"/>
    <w:rsid w:val="00AA702E"/>
    <w:rsid w:val="00AA7D26"/>
    <w:rsid w:val="00AB0964"/>
    <w:rsid w:val="00AB35DD"/>
    <w:rsid w:val="00AB5011"/>
    <w:rsid w:val="00AC7368"/>
    <w:rsid w:val="00AD16B9"/>
    <w:rsid w:val="00AE377D"/>
    <w:rsid w:val="00AF0EBA"/>
    <w:rsid w:val="00AF2463"/>
    <w:rsid w:val="00AF2E7F"/>
    <w:rsid w:val="00B00559"/>
    <w:rsid w:val="00B02C8A"/>
    <w:rsid w:val="00B03A05"/>
    <w:rsid w:val="00B065CC"/>
    <w:rsid w:val="00B07113"/>
    <w:rsid w:val="00B14A49"/>
    <w:rsid w:val="00B177A1"/>
    <w:rsid w:val="00B17FBD"/>
    <w:rsid w:val="00B315A6"/>
    <w:rsid w:val="00B31813"/>
    <w:rsid w:val="00B33365"/>
    <w:rsid w:val="00B430B2"/>
    <w:rsid w:val="00B57B36"/>
    <w:rsid w:val="00B57E6F"/>
    <w:rsid w:val="00B67538"/>
    <w:rsid w:val="00B72F93"/>
    <w:rsid w:val="00B8686D"/>
    <w:rsid w:val="00B8747C"/>
    <w:rsid w:val="00B90125"/>
    <w:rsid w:val="00B9278D"/>
    <w:rsid w:val="00B93F69"/>
    <w:rsid w:val="00B961FC"/>
    <w:rsid w:val="00BB1DDC"/>
    <w:rsid w:val="00BB2E86"/>
    <w:rsid w:val="00BB7840"/>
    <w:rsid w:val="00BC30C9"/>
    <w:rsid w:val="00BD077D"/>
    <w:rsid w:val="00BE3E58"/>
    <w:rsid w:val="00BF13CE"/>
    <w:rsid w:val="00BF7659"/>
    <w:rsid w:val="00C00810"/>
    <w:rsid w:val="00C01616"/>
    <w:rsid w:val="00C0162B"/>
    <w:rsid w:val="00C068ED"/>
    <w:rsid w:val="00C143DA"/>
    <w:rsid w:val="00C22E0C"/>
    <w:rsid w:val="00C31BD9"/>
    <w:rsid w:val="00C31C6D"/>
    <w:rsid w:val="00C345B1"/>
    <w:rsid w:val="00C40142"/>
    <w:rsid w:val="00C52C3C"/>
    <w:rsid w:val="00C57182"/>
    <w:rsid w:val="00C57863"/>
    <w:rsid w:val="00C57DDC"/>
    <w:rsid w:val="00C640AF"/>
    <w:rsid w:val="00C655FD"/>
    <w:rsid w:val="00C662D8"/>
    <w:rsid w:val="00C66384"/>
    <w:rsid w:val="00C70753"/>
    <w:rsid w:val="00C7084C"/>
    <w:rsid w:val="00C75407"/>
    <w:rsid w:val="00C841C6"/>
    <w:rsid w:val="00C870A8"/>
    <w:rsid w:val="00C92186"/>
    <w:rsid w:val="00C94434"/>
    <w:rsid w:val="00C97EA9"/>
    <w:rsid w:val="00CA0D75"/>
    <w:rsid w:val="00CA1C95"/>
    <w:rsid w:val="00CA5A9C"/>
    <w:rsid w:val="00CB1593"/>
    <w:rsid w:val="00CC4C20"/>
    <w:rsid w:val="00CD3517"/>
    <w:rsid w:val="00CD5FE2"/>
    <w:rsid w:val="00CE72CA"/>
    <w:rsid w:val="00CE7C68"/>
    <w:rsid w:val="00CF1E45"/>
    <w:rsid w:val="00D02B4C"/>
    <w:rsid w:val="00D03BC2"/>
    <w:rsid w:val="00D040C4"/>
    <w:rsid w:val="00D04942"/>
    <w:rsid w:val="00D050FD"/>
    <w:rsid w:val="00D07236"/>
    <w:rsid w:val="00D14155"/>
    <w:rsid w:val="00D20AD1"/>
    <w:rsid w:val="00D22A0E"/>
    <w:rsid w:val="00D2582C"/>
    <w:rsid w:val="00D3523D"/>
    <w:rsid w:val="00D411F7"/>
    <w:rsid w:val="00D46B7E"/>
    <w:rsid w:val="00D57C84"/>
    <w:rsid w:val="00D6057D"/>
    <w:rsid w:val="00D61DFF"/>
    <w:rsid w:val="00D70F78"/>
    <w:rsid w:val="00D71640"/>
    <w:rsid w:val="00D836C5"/>
    <w:rsid w:val="00D84576"/>
    <w:rsid w:val="00D9620B"/>
    <w:rsid w:val="00DA1399"/>
    <w:rsid w:val="00DA24C6"/>
    <w:rsid w:val="00DA4D7B"/>
    <w:rsid w:val="00DB40E0"/>
    <w:rsid w:val="00DB767E"/>
    <w:rsid w:val="00DC0E69"/>
    <w:rsid w:val="00DC2840"/>
    <w:rsid w:val="00DC5342"/>
    <w:rsid w:val="00DC73EE"/>
    <w:rsid w:val="00DD271C"/>
    <w:rsid w:val="00DD274E"/>
    <w:rsid w:val="00DD7F38"/>
    <w:rsid w:val="00DE264A"/>
    <w:rsid w:val="00DE2B1A"/>
    <w:rsid w:val="00DF5072"/>
    <w:rsid w:val="00DF509D"/>
    <w:rsid w:val="00E02D18"/>
    <w:rsid w:val="00E041E7"/>
    <w:rsid w:val="00E059DB"/>
    <w:rsid w:val="00E05FE8"/>
    <w:rsid w:val="00E11580"/>
    <w:rsid w:val="00E23AD0"/>
    <w:rsid w:val="00E23CA1"/>
    <w:rsid w:val="00E33643"/>
    <w:rsid w:val="00E409A8"/>
    <w:rsid w:val="00E42BF6"/>
    <w:rsid w:val="00E458E6"/>
    <w:rsid w:val="00E47D4D"/>
    <w:rsid w:val="00E506FC"/>
    <w:rsid w:val="00E50C12"/>
    <w:rsid w:val="00E563D8"/>
    <w:rsid w:val="00E607E4"/>
    <w:rsid w:val="00E65B91"/>
    <w:rsid w:val="00E7209D"/>
    <w:rsid w:val="00E72EAD"/>
    <w:rsid w:val="00E7391E"/>
    <w:rsid w:val="00E77223"/>
    <w:rsid w:val="00E8528B"/>
    <w:rsid w:val="00E85B94"/>
    <w:rsid w:val="00E978D0"/>
    <w:rsid w:val="00E97EEB"/>
    <w:rsid w:val="00EA4613"/>
    <w:rsid w:val="00EA7F91"/>
    <w:rsid w:val="00EB1523"/>
    <w:rsid w:val="00EB42B0"/>
    <w:rsid w:val="00EB52B0"/>
    <w:rsid w:val="00EC0E49"/>
    <w:rsid w:val="00EC101F"/>
    <w:rsid w:val="00EC1D9F"/>
    <w:rsid w:val="00EC2E2E"/>
    <w:rsid w:val="00ED6EAE"/>
    <w:rsid w:val="00EE0131"/>
    <w:rsid w:val="00EE17B0"/>
    <w:rsid w:val="00EE4C8D"/>
    <w:rsid w:val="00EF06D9"/>
    <w:rsid w:val="00F0102A"/>
    <w:rsid w:val="00F11B92"/>
    <w:rsid w:val="00F25F37"/>
    <w:rsid w:val="00F25FEA"/>
    <w:rsid w:val="00F3049E"/>
    <w:rsid w:val="00F30C64"/>
    <w:rsid w:val="00F32BA2"/>
    <w:rsid w:val="00F32CDB"/>
    <w:rsid w:val="00F41EE4"/>
    <w:rsid w:val="00F50C3C"/>
    <w:rsid w:val="00F565FE"/>
    <w:rsid w:val="00F5763B"/>
    <w:rsid w:val="00F63A70"/>
    <w:rsid w:val="00F63D8C"/>
    <w:rsid w:val="00F67197"/>
    <w:rsid w:val="00F7534E"/>
    <w:rsid w:val="00F93EDF"/>
    <w:rsid w:val="00F9588C"/>
    <w:rsid w:val="00F97A98"/>
    <w:rsid w:val="00FA1802"/>
    <w:rsid w:val="00FA21D0"/>
    <w:rsid w:val="00FA5F5F"/>
    <w:rsid w:val="00FB6E88"/>
    <w:rsid w:val="00FB730C"/>
    <w:rsid w:val="00FB7CBE"/>
    <w:rsid w:val="00FC2695"/>
    <w:rsid w:val="00FC3E03"/>
    <w:rsid w:val="00FC3FC1"/>
    <w:rsid w:val="00FD21E4"/>
    <w:rsid w:val="00FF7C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har">
    <w:name w:val="Cabeçalho da mensagem Char"/>
    <w:basedOn w:val="Fontepargpadr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har">
    <w:name w:val="Texto de macro Char"/>
    <w:basedOn w:val="Fontepargpadro"/>
    <w:link w:val="Textodemacro"/>
    <w:uiPriority w:val="99"/>
    <w:semiHidden/>
    <w:rsid w:val="0003148D"/>
    <w:rPr>
      <w:rFonts w:ascii="Consolas" w:hAnsi="Consolas" w:cs="Consolas"/>
      <w:sz w:val="20"/>
      <w:szCs w:val="20"/>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semiHidden/>
    <w:rsid w:val="0003148D"/>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remissivo">
    <w:name w:val="index heading"/>
    <w:basedOn w:val="Normal"/>
    <w:next w:val="Remissivo1"/>
    <w:uiPriority w:val="99"/>
    <w:semiHidden/>
    <w:unhideWhenUsed/>
    <w:rsid w:val="0003148D"/>
    <w:rPr>
      <w:rFonts w:asciiTheme="majorHAnsi" w:eastAsiaTheme="majorEastAsia" w:hAnsiTheme="majorHAnsi" w:cstheme="majorBidi"/>
      <w:b/>
      <w:bCs/>
    </w:rPr>
  </w:style>
  <w:style w:type="paragraph" w:styleId="Ttul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ontepargpadr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904C62"/>
    <w:rPr>
      <w:color w:val="0000FF" w:themeColor="hyperlink"/>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rsid w:val="00280FAF"/>
    <w:pPr>
      <w:ind w:left="720"/>
      <w:contextualSpacing/>
    </w:pPr>
  </w:style>
  <w:style w:type="character" w:customStyle="1" w:styleId="gmail-apple-converted-space">
    <w:name w:val="gmail-apple-converted-space"/>
    <w:basedOn w:val="Fontepargpadro"/>
    <w:rsid w:val="00005A19"/>
  </w:style>
  <w:style w:type="character" w:customStyle="1" w:styleId="katex-mathml">
    <w:name w:val="katex-mathml"/>
    <w:basedOn w:val="Fontepargpadro"/>
    <w:rsid w:val="00E563D8"/>
  </w:style>
  <w:style w:type="character" w:customStyle="1" w:styleId="mord">
    <w:name w:val="mord"/>
    <w:basedOn w:val="Fontepargpadro"/>
    <w:rsid w:val="00E563D8"/>
  </w:style>
  <w:style w:type="character" w:customStyle="1" w:styleId="vlist-s">
    <w:name w:val="vlist-s"/>
    <w:basedOn w:val="Fontepargpadro"/>
    <w:rsid w:val="00E563D8"/>
  </w:style>
  <w:style w:type="character" w:styleId="TextodoEspaoReservado">
    <w:name w:val="Placeholder Text"/>
    <w:basedOn w:val="Fontepargpadro"/>
    <w:uiPriority w:val="99"/>
    <w:semiHidden/>
    <w:rsid w:val="00646D09"/>
    <w:rPr>
      <w:color w:val="808080"/>
    </w:rPr>
  </w:style>
</w:styles>
</file>

<file path=word/webSettings.xml><?xml version="1.0" encoding="utf-8"?>
<w:webSettings xmlns:r="http://schemas.openxmlformats.org/officeDocument/2006/relationships" xmlns:w="http://schemas.openxmlformats.org/wordprocessingml/2006/main">
  <w:divs>
    <w:div w:id="185943961">
      <w:bodyDiv w:val="1"/>
      <w:marLeft w:val="0"/>
      <w:marRight w:val="0"/>
      <w:marTop w:val="0"/>
      <w:marBottom w:val="0"/>
      <w:divBdr>
        <w:top w:val="none" w:sz="0" w:space="0" w:color="auto"/>
        <w:left w:val="none" w:sz="0" w:space="0" w:color="auto"/>
        <w:bottom w:val="none" w:sz="0" w:space="0" w:color="auto"/>
        <w:right w:val="none" w:sz="0" w:space="0" w:color="auto"/>
      </w:divBdr>
    </w:div>
    <w:div w:id="518587890">
      <w:bodyDiv w:val="1"/>
      <w:marLeft w:val="0"/>
      <w:marRight w:val="0"/>
      <w:marTop w:val="0"/>
      <w:marBottom w:val="0"/>
      <w:divBdr>
        <w:top w:val="none" w:sz="0" w:space="0" w:color="auto"/>
        <w:left w:val="none" w:sz="0" w:space="0" w:color="auto"/>
        <w:bottom w:val="none" w:sz="0" w:space="0" w:color="auto"/>
        <w:right w:val="none" w:sz="0" w:space="0" w:color="auto"/>
      </w:divBdr>
    </w:div>
    <w:div w:id="73651832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7396">
      <w:bodyDiv w:val="1"/>
      <w:marLeft w:val="0"/>
      <w:marRight w:val="0"/>
      <w:marTop w:val="0"/>
      <w:marBottom w:val="0"/>
      <w:divBdr>
        <w:top w:val="none" w:sz="0" w:space="0" w:color="auto"/>
        <w:left w:val="none" w:sz="0" w:space="0" w:color="auto"/>
        <w:bottom w:val="none" w:sz="0" w:space="0" w:color="auto"/>
        <w:right w:val="none" w:sz="0" w:space="0" w:color="auto"/>
      </w:divBdr>
      <w:divsChild>
        <w:div w:id="1964730023">
          <w:marLeft w:val="0"/>
          <w:marRight w:val="0"/>
          <w:marTop w:val="0"/>
          <w:marBottom w:val="0"/>
          <w:divBdr>
            <w:top w:val="none" w:sz="0" w:space="0" w:color="auto"/>
            <w:left w:val="none" w:sz="0" w:space="0" w:color="auto"/>
            <w:bottom w:val="none" w:sz="0" w:space="0" w:color="auto"/>
            <w:right w:val="none" w:sz="0" w:space="0" w:color="auto"/>
          </w:divBdr>
          <w:divsChild>
            <w:div w:id="1501576406">
              <w:marLeft w:val="0"/>
              <w:marRight w:val="0"/>
              <w:marTop w:val="0"/>
              <w:marBottom w:val="0"/>
              <w:divBdr>
                <w:top w:val="none" w:sz="0" w:space="0" w:color="auto"/>
                <w:left w:val="none" w:sz="0" w:space="0" w:color="auto"/>
                <w:bottom w:val="none" w:sz="0" w:space="0" w:color="auto"/>
                <w:right w:val="none" w:sz="0" w:space="0" w:color="auto"/>
              </w:divBdr>
              <w:divsChild>
                <w:div w:id="181284259">
                  <w:marLeft w:val="0"/>
                  <w:marRight w:val="0"/>
                  <w:marTop w:val="0"/>
                  <w:marBottom w:val="0"/>
                  <w:divBdr>
                    <w:top w:val="none" w:sz="0" w:space="0" w:color="auto"/>
                    <w:left w:val="none" w:sz="0" w:space="0" w:color="auto"/>
                    <w:bottom w:val="none" w:sz="0" w:space="0" w:color="auto"/>
                    <w:right w:val="none" w:sz="0" w:space="0" w:color="auto"/>
                  </w:divBdr>
                  <w:divsChild>
                    <w:div w:id="32047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165302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74419761">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guira@feq.unicamp.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21F9-4863-4EA2-8A95-CB9142340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3839</Words>
  <Characters>20736</Characters>
  <Application>Microsoft Office Word</Application>
  <DocSecurity>0</DocSecurity>
  <Lines>172</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Reginaldo</cp:lastModifiedBy>
  <cp:revision>76</cp:revision>
  <cp:lastPrinted>2025-04-09T17:26:00Z</cp:lastPrinted>
  <dcterms:created xsi:type="dcterms:W3CDTF">2025-02-20T18:23:00Z</dcterms:created>
  <dcterms:modified xsi:type="dcterms:W3CDTF">2025-04-09T17:27:00Z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